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81AB6" w14:textId="6C60C327" w:rsidR="00090A6D" w:rsidRPr="00090A6D" w:rsidRDefault="00090A6D" w:rsidP="00090A6D">
      <w:pPr>
        <w:rPr>
          <w:rFonts w:asciiTheme="majorHAnsi" w:eastAsiaTheme="majorEastAsia" w:hAnsiTheme="majorHAnsi" w:cstheme="majorBidi"/>
          <w:b/>
          <w:bCs/>
          <w:color w:val="1089FF" w:themeColor="accent3"/>
          <w:sz w:val="28"/>
          <w:szCs w:val="36"/>
          <w:lang w:val="en-GB"/>
        </w:rPr>
      </w:pPr>
      <w:bookmarkStart w:id="0" w:name="_Hlk120020606"/>
      <w:r w:rsidRPr="00090A6D">
        <w:rPr>
          <w:rFonts w:asciiTheme="majorHAnsi" w:eastAsiaTheme="majorEastAsia" w:hAnsiTheme="majorHAnsi" w:cstheme="majorBidi"/>
          <w:b/>
          <w:bCs/>
          <w:color w:val="1089FF" w:themeColor="accent3"/>
          <w:sz w:val="28"/>
          <w:szCs w:val="36"/>
          <w:lang w:val="en-GB"/>
        </w:rPr>
        <w:t xml:space="preserve">EDF </w:t>
      </w:r>
      <w:r w:rsidR="005631E8">
        <w:rPr>
          <w:rFonts w:asciiTheme="majorHAnsi" w:eastAsiaTheme="majorEastAsia" w:hAnsiTheme="majorHAnsi" w:cstheme="majorBidi"/>
          <w:b/>
          <w:bCs/>
          <w:color w:val="1089FF" w:themeColor="accent3"/>
          <w:sz w:val="28"/>
          <w:szCs w:val="36"/>
          <w:lang w:val="en-GB"/>
        </w:rPr>
        <w:t>submits</w:t>
      </w:r>
      <w:r w:rsidR="00456521">
        <w:rPr>
          <w:rFonts w:asciiTheme="majorHAnsi" w:eastAsiaTheme="majorEastAsia" w:hAnsiTheme="majorHAnsi" w:cstheme="majorBidi"/>
          <w:b/>
          <w:bCs/>
          <w:color w:val="1089FF" w:themeColor="accent3"/>
          <w:sz w:val="28"/>
          <w:szCs w:val="36"/>
          <w:lang w:val="en-GB"/>
        </w:rPr>
        <w:t xml:space="preserve"> to </w:t>
      </w:r>
      <w:r w:rsidR="00456521" w:rsidRPr="00090A6D">
        <w:rPr>
          <w:rFonts w:asciiTheme="majorHAnsi" w:eastAsiaTheme="majorEastAsia" w:hAnsiTheme="majorHAnsi" w:cstheme="majorBidi"/>
          <w:b/>
          <w:bCs/>
          <w:color w:val="1089FF" w:themeColor="accent3"/>
          <w:sz w:val="28"/>
          <w:szCs w:val="36"/>
          <w:lang w:val="en-GB"/>
        </w:rPr>
        <w:t>EDUII</w:t>
      </w:r>
      <w:r w:rsidR="00456521">
        <w:rPr>
          <w:rFonts w:asciiTheme="majorHAnsi" w:eastAsiaTheme="majorEastAsia" w:hAnsiTheme="majorHAnsi" w:cstheme="majorBidi"/>
          <w:b/>
          <w:bCs/>
          <w:color w:val="1089FF" w:themeColor="accent3"/>
          <w:sz w:val="28"/>
          <w:szCs w:val="36"/>
          <w:lang w:val="en-GB"/>
        </w:rPr>
        <w:t xml:space="preserve"> Europe’s</w:t>
      </w:r>
      <w:r w:rsidRPr="00090A6D">
        <w:rPr>
          <w:rFonts w:asciiTheme="majorHAnsi" w:eastAsiaTheme="majorEastAsia" w:hAnsiTheme="majorHAnsi" w:cstheme="majorBidi"/>
          <w:b/>
          <w:bCs/>
          <w:color w:val="1089FF" w:themeColor="accent3"/>
          <w:sz w:val="28"/>
          <w:szCs w:val="36"/>
          <w:lang w:val="en-GB"/>
        </w:rPr>
        <w:t xml:space="preserve"> integrated offer for </w:t>
      </w:r>
      <w:r w:rsidR="009F72E8">
        <w:rPr>
          <w:rFonts w:asciiTheme="majorHAnsi" w:eastAsiaTheme="majorEastAsia" w:hAnsiTheme="majorHAnsi" w:cstheme="majorBidi"/>
          <w:b/>
          <w:bCs/>
          <w:color w:val="1089FF" w:themeColor="accent3"/>
          <w:sz w:val="28"/>
          <w:szCs w:val="36"/>
          <w:lang w:val="en-GB"/>
        </w:rPr>
        <w:t xml:space="preserve">a Czech new nuclear programme of up to four </w:t>
      </w:r>
      <w:r w:rsidR="00BB27D9">
        <w:rPr>
          <w:rFonts w:asciiTheme="majorHAnsi" w:eastAsiaTheme="majorEastAsia" w:hAnsiTheme="majorHAnsi" w:cstheme="majorBidi"/>
          <w:b/>
          <w:bCs/>
          <w:color w:val="1089FF" w:themeColor="accent3"/>
          <w:sz w:val="28"/>
          <w:szCs w:val="36"/>
          <w:lang w:val="en-GB"/>
        </w:rPr>
        <w:t xml:space="preserve">EPR1200 units in Dukovany and </w:t>
      </w:r>
      <w:r w:rsidR="00814E5F" w:rsidRPr="00814E5F">
        <w:rPr>
          <w:rFonts w:asciiTheme="majorHAnsi" w:eastAsiaTheme="majorEastAsia" w:hAnsiTheme="majorHAnsi" w:cstheme="majorBidi"/>
          <w:b/>
          <w:bCs/>
          <w:color w:val="1089FF" w:themeColor="accent3"/>
          <w:sz w:val="28"/>
          <w:szCs w:val="36"/>
          <w:lang w:val="en-GB"/>
        </w:rPr>
        <w:t>Temelín</w:t>
      </w:r>
    </w:p>
    <w:p w14:paraId="241592DB" w14:textId="77777777" w:rsidR="00090A6D" w:rsidRDefault="00090A6D" w:rsidP="00090A6D">
      <w:pPr>
        <w:rPr>
          <w:sz w:val="22"/>
          <w:lang w:val="en-GB"/>
        </w:rPr>
      </w:pPr>
    </w:p>
    <w:p w14:paraId="23A2C11C" w14:textId="77777777" w:rsidR="00141056" w:rsidRDefault="00141056" w:rsidP="00090A6D">
      <w:pPr>
        <w:pStyle w:val="Textecourant"/>
        <w:rPr>
          <w:lang w:val="en-GB"/>
        </w:rPr>
      </w:pPr>
    </w:p>
    <w:p w14:paraId="397CEA84" w14:textId="77777777" w:rsidR="00141056" w:rsidRPr="00B06A39" w:rsidRDefault="00141056" w:rsidP="00141056">
      <w:pPr>
        <w:pStyle w:val="Textecourant"/>
        <w:pBdr>
          <w:top w:val="single" w:sz="18" w:space="1" w:color="001A70" w:themeColor="accent1"/>
          <w:left w:val="single" w:sz="18" w:space="4" w:color="001A70" w:themeColor="accent1"/>
          <w:bottom w:val="single" w:sz="18" w:space="1" w:color="001A70" w:themeColor="accent1"/>
          <w:right w:val="single" w:sz="18" w:space="4" w:color="001A70" w:themeColor="accent1"/>
        </w:pBdr>
        <w:spacing w:line="240" w:lineRule="auto"/>
        <w:rPr>
          <w:rFonts w:ascii="Calibri" w:hAnsi="Calibri" w:cs="Calibri"/>
          <w:b/>
          <w:bCs/>
          <w:szCs w:val="20"/>
          <w:lang w:val="en-GB"/>
        </w:rPr>
      </w:pPr>
      <w:r w:rsidRPr="00B06A39">
        <w:rPr>
          <w:rFonts w:ascii="Calibri" w:hAnsi="Calibri" w:cs="Calibri"/>
          <w:szCs w:val="20"/>
          <w:lang w:val="en-GB"/>
        </w:rPr>
        <w:t>EDF and its strategic partners reaffirm their commitment to the success of the Czech new nuclear programme and are fully mobilised to deliver to ČEZ/EDUII</w:t>
      </w:r>
      <w:r w:rsidRPr="00B06A39">
        <w:rPr>
          <w:rFonts w:ascii="Calibri" w:hAnsi="Calibri" w:cs="Calibri"/>
          <w:b/>
          <w:bCs/>
          <w:szCs w:val="20"/>
          <w:lang w:val="en-GB"/>
        </w:rPr>
        <w:t xml:space="preserve"> </w:t>
      </w:r>
      <w:r w:rsidRPr="00B06A39">
        <w:rPr>
          <w:rFonts w:ascii="Calibri" w:hAnsi="Calibri" w:cs="Calibri"/>
          <w:szCs w:val="20"/>
          <w:lang w:val="en-GB"/>
        </w:rPr>
        <w:t xml:space="preserve">and to the Czech government the best offer for the construction of a </w:t>
      </w:r>
      <w:r w:rsidRPr="00B06A39">
        <w:rPr>
          <w:rFonts w:ascii="Calibri" w:hAnsi="Calibri" w:cs="Calibri"/>
          <w:b/>
          <w:bCs/>
          <w:szCs w:val="20"/>
          <w:lang w:val="en-GB"/>
        </w:rPr>
        <w:t>fleet of up to four EPR1200 nuclear power units in the Czech Republic.</w:t>
      </w:r>
    </w:p>
    <w:p w14:paraId="083D8B85" w14:textId="77777777" w:rsidR="00141056" w:rsidRPr="00B06A39" w:rsidRDefault="00141056" w:rsidP="00141056">
      <w:pPr>
        <w:pBdr>
          <w:top w:val="single" w:sz="18" w:space="1" w:color="001A70" w:themeColor="accent1"/>
          <w:left w:val="single" w:sz="18" w:space="4" w:color="001A70" w:themeColor="accent1"/>
          <w:bottom w:val="single" w:sz="18" w:space="1" w:color="001A70" w:themeColor="accent1"/>
          <w:right w:val="single" w:sz="18" w:space="4" w:color="001A70" w:themeColor="accent1"/>
        </w:pBdr>
        <w:spacing w:before="100" w:beforeAutospacing="1" w:after="100" w:afterAutospacing="1" w:line="240" w:lineRule="auto"/>
        <w:jc w:val="both"/>
        <w:rPr>
          <w:rFonts w:ascii="Calibri" w:hAnsi="Calibri" w:cs="Calibri"/>
          <w:color w:val="001A70" w:themeColor="accent1"/>
          <w:szCs w:val="20"/>
          <w:lang w:val="en-GB"/>
        </w:rPr>
      </w:pPr>
      <w:r w:rsidRPr="00B06A39">
        <w:rPr>
          <w:rFonts w:ascii="Calibri" w:hAnsi="Calibri" w:cs="Calibri"/>
          <w:color w:val="001A70" w:themeColor="accent1"/>
          <w:szCs w:val="20"/>
          <w:lang w:val="en-GB"/>
        </w:rPr>
        <w:t xml:space="preserve">Ensuring </w:t>
      </w:r>
      <w:r w:rsidRPr="00B06A39">
        <w:rPr>
          <w:rFonts w:ascii="Calibri" w:hAnsi="Calibri" w:cs="Calibri"/>
          <w:b/>
          <w:bCs/>
          <w:color w:val="001A70" w:themeColor="accent1"/>
          <w:szCs w:val="20"/>
          <w:lang w:val="en-GB"/>
        </w:rPr>
        <w:t>energy security and independence is a pivotal decision for Czechia's future</w:t>
      </w:r>
      <w:r w:rsidRPr="00B06A39">
        <w:rPr>
          <w:rFonts w:ascii="Calibri" w:hAnsi="Calibri" w:cs="Calibri"/>
          <w:color w:val="001A70" w:themeColor="accent1"/>
          <w:szCs w:val="20"/>
          <w:lang w:val="en-GB"/>
        </w:rPr>
        <w:t xml:space="preserve">, requiring a partner that aligns with its long-term vision. The proposal from EDF and its strategic partners stands out as a fully </w:t>
      </w:r>
      <w:r w:rsidRPr="00B06A39">
        <w:rPr>
          <w:rFonts w:ascii="Calibri" w:hAnsi="Calibri" w:cs="Calibri"/>
          <w:b/>
          <w:bCs/>
          <w:color w:val="001A70" w:themeColor="accent1"/>
          <w:szCs w:val="20"/>
          <w:lang w:val="en-GB"/>
        </w:rPr>
        <w:t>integrated European solution</w:t>
      </w:r>
      <w:r w:rsidRPr="00B06A39">
        <w:rPr>
          <w:rFonts w:ascii="Calibri" w:hAnsi="Calibri" w:cs="Calibri"/>
          <w:color w:val="001A70" w:themeColor="accent1"/>
          <w:szCs w:val="20"/>
          <w:lang w:val="en-GB"/>
        </w:rPr>
        <w:t>, positioning Czechia at the forefront of the anticipated European nuclear renaissance.</w:t>
      </w:r>
    </w:p>
    <w:p w14:paraId="3C1E1E52" w14:textId="26F9A253" w:rsidR="00141056" w:rsidRPr="00B06A39" w:rsidRDefault="00141056" w:rsidP="00141056">
      <w:pPr>
        <w:pBdr>
          <w:top w:val="single" w:sz="18" w:space="1" w:color="001A70" w:themeColor="accent1"/>
          <w:left w:val="single" w:sz="18" w:space="4" w:color="001A70" w:themeColor="accent1"/>
          <w:bottom w:val="single" w:sz="18" w:space="1" w:color="001A70" w:themeColor="accent1"/>
          <w:right w:val="single" w:sz="18" w:space="4" w:color="001A70" w:themeColor="accent1"/>
        </w:pBdr>
        <w:spacing w:before="100" w:beforeAutospacing="1" w:after="100" w:afterAutospacing="1" w:line="240" w:lineRule="auto"/>
        <w:jc w:val="both"/>
        <w:rPr>
          <w:rFonts w:ascii="Calibri" w:hAnsi="Calibri" w:cs="Calibri"/>
          <w:color w:val="001A70" w:themeColor="accent1"/>
          <w:szCs w:val="20"/>
          <w:lang w:val="en-GB"/>
        </w:rPr>
      </w:pPr>
      <w:r w:rsidRPr="00B06A39">
        <w:rPr>
          <w:rFonts w:ascii="Calibri" w:hAnsi="Calibri" w:cs="Calibri"/>
          <w:color w:val="001A70" w:themeColor="accent1"/>
          <w:szCs w:val="20"/>
          <w:lang w:val="en-GB"/>
        </w:rPr>
        <w:t>The industrial and technological synergies between Czech and French industries lay</w:t>
      </w:r>
      <w:r w:rsidR="00E41E8E">
        <w:rPr>
          <w:rFonts w:ascii="Calibri" w:hAnsi="Calibri" w:cs="Calibri"/>
          <w:color w:val="001A70" w:themeColor="accent1"/>
          <w:szCs w:val="20"/>
          <w:lang w:val="en-GB"/>
        </w:rPr>
        <w:t xml:space="preserve"> </w:t>
      </w:r>
      <w:r w:rsidRPr="00B06A39">
        <w:rPr>
          <w:rFonts w:ascii="Calibri" w:hAnsi="Calibri" w:cs="Calibri"/>
          <w:color w:val="001A70" w:themeColor="accent1"/>
          <w:szCs w:val="20"/>
          <w:lang w:val="en-GB"/>
        </w:rPr>
        <w:t xml:space="preserve">a solid foundation for future European nuclear initiatives. </w:t>
      </w:r>
      <w:r w:rsidRPr="00B06A39">
        <w:rPr>
          <w:rFonts w:ascii="Calibri" w:hAnsi="Calibri" w:cs="Calibri"/>
          <w:b/>
          <w:bCs/>
          <w:color w:val="001A70" w:themeColor="accent1"/>
          <w:szCs w:val="20"/>
          <w:lang w:val="en-GB"/>
        </w:rPr>
        <w:t xml:space="preserve">With numerous projects underway across the continent </w:t>
      </w:r>
      <w:r w:rsidRPr="00B06A39">
        <w:rPr>
          <w:rFonts w:ascii="Calibri" w:hAnsi="Calibri" w:cs="Calibri"/>
          <w:i/>
          <w:iCs/>
          <w:color w:val="001A70" w:themeColor="accent1"/>
          <w:szCs w:val="20"/>
          <w:lang w:val="en-GB"/>
        </w:rPr>
        <w:t xml:space="preserve">(14 EPR in France, 4 </w:t>
      </w:r>
      <w:r>
        <w:rPr>
          <w:rFonts w:ascii="Calibri" w:hAnsi="Calibri" w:cs="Calibri"/>
          <w:i/>
          <w:iCs/>
          <w:color w:val="001A70" w:themeColor="accent1"/>
          <w:szCs w:val="20"/>
          <w:lang w:val="en-GB"/>
        </w:rPr>
        <w:t xml:space="preserve">EPR </w:t>
      </w:r>
      <w:r w:rsidRPr="00B06A39">
        <w:rPr>
          <w:rFonts w:ascii="Calibri" w:hAnsi="Calibri" w:cs="Calibri"/>
          <w:i/>
          <w:iCs/>
          <w:color w:val="001A70" w:themeColor="accent1"/>
          <w:szCs w:val="20"/>
          <w:lang w:val="en-GB"/>
        </w:rPr>
        <w:t xml:space="preserve">in the </w:t>
      </w:r>
      <w:r>
        <w:rPr>
          <w:rFonts w:ascii="Calibri" w:hAnsi="Calibri" w:cs="Calibri"/>
          <w:i/>
          <w:iCs/>
          <w:color w:val="001A70" w:themeColor="accent1"/>
          <w:szCs w:val="20"/>
          <w:lang w:val="en-GB"/>
        </w:rPr>
        <w:t>United Kingdom</w:t>
      </w:r>
      <w:r w:rsidRPr="00B06A39">
        <w:rPr>
          <w:rFonts w:ascii="Calibri" w:hAnsi="Calibri" w:cs="Calibri"/>
          <w:i/>
          <w:iCs/>
          <w:color w:val="001A70" w:themeColor="accent1"/>
          <w:szCs w:val="20"/>
          <w:lang w:val="en-GB"/>
        </w:rPr>
        <w:t xml:space="preserve"> and more than 10 prospects programme</w:t>
      </w:r>
      <w:r>
        <w:rPr>
          <w:rFonts w:ascii="Calibri" w:hAnsi="Calibri" w:cs="Calibri"/>
          <w:i/>
          <w:iCs/>
          <w:color w:val="001A70" w:themeColor="accent1"/>
          <w:szCs w:val="20"/>
          <w:lang w:val="en-GB"/>
        </w:rPr>
        <w:t>s</w:t>
      </w:r>
      <w:r w:rsidRPr="00B06A39">
        <w:rPr>
          <w:rFonts w:ascii="Calibri" w:hAnsi="Calibri" w:cs="Calibri"/>
          <w:i/>
          <w:iCs/>
          <w:color w:val="001A70" w:themeColor="accent1"/>
          <w:szCs w:val="20"/>
          <w:lang w:val="en-GB"/>
        </w:rPr>
        <w:t xml:space="preserve"> ahead, including Slovenia, Slovakia, the Netherlands, and Poland),</w:t>
      </w:r>
      <w:r w:rsidRPr="00B06A39">
        <w:rPr>
          <w:rFonts w:ascii="Calibri" w:hAnsi="Calibri" w:cs="Calibri"/>
          <w:b/>
          <w:bCs/>
          <w:color w:val="001A70" w:themeColor="accent1"/>
          <w:szCs w:val="20"/>
          <w:lang w:val="en-GB"/>
        </w:rPr>
        <w:t xml:space="preserve"> EDF emerges as the unique contender capable of ensuring a prosperous future for the Czech nuclear sector</w:t>
      </w:r>
      <w:r w:rsidRPr="00B06A39">
        <w:rPr>
          <w:rFonts w:ascii="Calibri" w:hAnsi="Calibri" w:cs="Calibri"/>
          <w:color w:val="001A70" w:themeColor="accent1"/>
          <w:szCs w:val="20"/>
          <w:lang w:val="en-GB"/>
        </w:rPr>
        <w:t xml:space="preserve">. </w:t>
      </w:r>
      <w:r>
        <w:rPr>
          <w:rFonts w:ascii="Calibri" w:hAnsi="Calibri" w:cs="Calibri"/>
          <w:color w:val="001A70" w:themeColor="accent1"/>
          <w:szCs w:val="20"/>
          <w:lang w:val="en-GB"/>
        </w:rPr>
        <w:t>EDF and its European partners’ offer</w:t>
      </w:r>
      <w:r w:rsidRPr="00B06A39">
        <w:rPr>
          <w:rFonts w:ascii="Calibri" w:hAnsi="Calibri" w:cs="Calibri"/>
          <w:color w:val="001A70" w:themeColor="accent1"/>
          <w:szCs w:val="20"/>
          <w:lang w:val="en-GB"/>
        </w:rPr>
        <w:t xml:space="preserve"> includes opportunities for Czech companies to expand their market reach by exporting products and services and for ČEZ to become an integral part of the evolving </w:t>
      </w:r>
      <w:r w:rsidRPr="00B06A39">
        <w:rPr>
          <w:rFonts w:ascii="Calibri" w:hAnsi="Calibri" w:cs="Calibri"/>
          <w:b/>
          <w:bCs/>
          <w:color w:val="001A70" w:themeColor="accent1"/>
          <w:szCs w:val="20"/>
          <w:lang w:val="en-GB"/>
        </w:rPr>
        <w:t>European EPR family</w:t>
      </w:r>
      <w:r w:rsidRPr="00B06A39">
        <w:rPr>
          <w:rFonts w:ascii="Calibri" w:hAnsi="Calibri" w:cs="Calibri"/>
          <w:color w:val="001A70" w:themeColor="accent1"/>
          <w:szCs w:val="20"/>
          <w:lang w:val="en-GB"/>
        </w:rPr>
        <w:t>. This vision charts a course for comprehensive economic development and industrial enhancement in the nuclear domain.</w:t>
      </w:r>
    </w:p>
    <w:p w14:paraId="6A7E01AF" w14:textId="74352609" w:rsidR="00141056" w:rsidRPr="00B06A39" w:rsidRDefault="00141056" w:rsidP="00141056">
      <w:pPr>
        <w:pBdr>
          <w:top w:val="single" w:sz="18" w:space="1" w:color="001A70" w:themeColor="accent1"/>
          <w:left w:val="single" w:sz="18" w:space="4" w:color="001A70" w:themeColor="accent1"/>
          <w:bottom w:val="single" w:sz="18" w:space="1" w:color="001A70" w:themeColor="accent1"/>
          <w:right w:val="single" w:sz="18" w:space="4" w:color="001A70" w:themeColor="accent1"/>
        </w:pBdr>
        <w:spacing w:before="100" w:beforeAutospacing="1" w:after="100" w:afterAutospacing="1" w:line="240" w:lineRule="auto"/>
        <w:jc w:val="both"/>
        <w:rPr>
          <w:rFonts w:ascii="Calibri" w:hAnsi="Calibri" w:cs="Calibri"/>
          <w:color w:val="001A70" w:themeColor="accent1"/>
          <w:szCs w:val="20"/>
          <w:lang w:val="en-GB"/>
        </w:rPr>
      </w:pPr>
      <w:r w:rsidRPr="00B06A39">
        <w:rPr>
          <w:rFonts w:ascii="Calibri" w:hAnsi="Calibri" w:cs="Calibri"/>
          <w:color w:val="001A70" w:themeColor="accent1"/>
          <w:szCs w:val="20"/>
          <w:lang w:val="en-GB"/>
        </w:rPr>
        <w:t>This partnership not only elevates Czechia's role in new nuclear projects across Europe but also opens doors for joint development of projects across Europe</w:t>
      </w:r>
      <w:r>
        <w:rPr>
          <w:rFonts w:ascii="Calibri" w:hAnsi="Calibri" w:cs="Calibri"/>
          <w:color w:val="001A70" w:themeColor="accent1"/>
          <w:szCs w:val="20"/>
          <w:lang w:val="en-GB"/>
        </w:rPr>
        <w:t>, not only in the field of nuclear power plant construction, but also in engineering, education and research and development</w:t>
      </w:r>
      <w:r w:rsidRPr="00B06A39">
        <w:rPr>
          <w:rFonts w:ascii="Calibri" w:hAnsi="Calibri" w:cs="Calibri"/>
          <w:color w:val="001A70" w:themeColor="accent1"/>
          <w:szCs w:val="20"/>
          <w:lang w:val="en-GB"/>
        </w:rPr>
        <w:t xml:space="preserve">. Such collaboration will ensure </w:t>
      </w:r>
      <w:r w:rsidRPr="00B06A39">
        <w:rPr>
          <w:rFonts w:ascii="Calibri" w:hAnsi="Calibri" w:cs="Calibri"/>
          <w:b/>
          <w:bCs/>
          <w:color w:val="001A70" w:themeColor="accent1"/>
          <w:szCs w:val="20"/>
          <w:lang w:val="en-GB"/>
        </w:rPr>
        <w:t>sustained economic growth for Czechia's nuclear industry</w:t>
      </w:r>
      <w:r w:rsidRPr="00B06A39">
        <w:rPr>
          <w:rFonts w:ascii="Calibri" w:hAnsi="Calibri" w:cs="Calibri"/>
          <w:color w:val="001A70" w:themeColor="accent1"/>
          <w:szCs w:val="20"/>
          <w:lang w:val="en-GB"/>
        </w:rPr>
        <w:t xml:space="preserve"> for the construction of the Czech fleet and beyond.</w:t>
      </w:r>
    </w:p>
    <w:p w14:paraId="1D20A0ED" w14:textId="40694C88" w:rsidR="00F030AE" w:rsidRDefault="00141056" w:rsidP="00141056">
      <w:pPr>
        <w:pStyle w:val="Textecourant"/>
        <w:pBdr>
          <w:top w:val="single" w:sz="18" w:space="1" w:color="001A70" w:themeColor="accent1"/>
          <w:left w:val="single" w:sz="18" w:space="4" w:color="001A70" w:themeColor="accent1"/>
          <w:bottom w:val="single" w:sz="18" w:space="1" w:color="001A70" w:themeColor="accent1"/>
          <w:right w:val="single" w:sz="18" w:space="4" w:color="001A70" w:themeColor="accent1"/>
        </w:pBdr>
        <w:spacing w:line="240" w:lineRule="auto"/>
        <w:rPr>
          <w:rFonts w:ascii="Calibri" w:hAnsi="Calibri" w:cs="Calibri"/>
          <w:szCs w:val="20"/>
          <w:lang w:val="en-GB"/>
        </w:rPr>
      </w:pPr>
      <w:r w:rsidRPr="00B06A39">
        <w:rPr>
          <w:rFonts w:ascii="Calibri" w:hAnsi="Calibri" w:cs="Calibri"/>
          <w:szCs w:val="20"/>
          <w:lang w:val="en-GB"/>
        </w:rPr>
        <w:t xml:space="preserve">EDF strongly believes that a </w:t>
      </w:r>
      <w:r w:rsidRPr="00B06A39">
        <w:rPr>
          <w:rFonts w:ascii="Calibri" w:hAnsi="Calibri" w:cs="Calibri"/>
          <w:b/>
          <w:bCs/>
          <w:szCs w:val="20"/>
          <w:lang w:val="en-GB"/>
        </w:rPr>
        <w:t>fleet effect is a key contributor to the competitiveness</w:t>
      </w:r>
      <w:r w:rsidRPr="00B06A39">
        <w:rPr>
          <w:rFonts w:ascii="Calibri" w:hAnsi="Calibri" w:cs="Calibri"/>
          <w:szCs w:val="20"/>
          <w:lang w:val="en-GB"/>
        </w:rPr>
        <w:t xml:space="preserve"> of the Czech new nuclear programme and will enable the Czech new nuclear programme to solidify a robust nuclear industrial alliance within Europe. As such, EDF very much welcomes the decision of the Czech government to expand its programme up to four units</w:t>
      </w:r>
      <w:r w:rsidR="00971452">
        <w:rPr>
          <w:rFonts w:ascii="Calibri" w:hAnsi="Calibri" w:cs="Calibri"/>
          <w:szCs w:val="20"/>
          <w:lang w:val="en-GB"/>
        </w:rPr>
        <w:t>. This decision will</w:t>
      </w:r>
      <w:r w:rsidRPr="00B06A39">
        <w:rPr>
          <w:rFonts w:ascii="Calibri" w:hAnsi="Calibri" w:cs="Calibri"/>
          <w:szCs w:val="20"/>
          <w:lang w:val="en-GB"/>
        </w:rPr>
        <w:t xml:space="preserve"> undoubtedly bring increased competitiveness, maximised</w:t>
      </w:r>
      <w:r w:rsidRPr="00B06A39" w:rsidDel="00C524F5">
        <w:rPr>
          <w:rFonts w:ascii="Calibri" w:hAnsi="Calibri" w:cs="Calibri"/>
          <w:szCs w:val="20"/>
          <w:lang w:val="en-GB"/>
        </w:rPr>
        <w:t xml:space="preserve"> </w:t>
      </w:r>
      <w:r w:rsidRPr="00B06A39">
        <w:rPr>
          <w:rFonts w:ascii="Calibri" w:hAnsi="Calibri" w:cs="Calibri"/>
          <w:b/>
          <w:bCs/>
          <w:szCs w:val="20"/>
          <w:lang w:val="en-GB"/>
        </w:rPr>
        <w:t>localised value added to the Czech economy and provide long-term perspective for human capacity building</w:t>
      </w:r>
      <w:r w:rsidRPr="00B06A39">
        <w:rPr>
          <w:rFonts w:ascii="Calibri" w:hAnsi="Calibri" w:cs="Calibri"/>
          <w:szCs w:val="20"/>
          <w:lang w:val="en-GB"/>
        </w:rPr>
        <w:t>.</w:t>
      </w:r>
    </w:p>
    <w:p w14:paraId="7B6B7318" w14:textId="77777777" w:rsidR="00F030AE" w:rsidRDefault="00F030AE" w:rsidP="00141056">
      <w:pPr>
        <w:pStyle w:val="Textecourant"/>
        <w:pBdr>
          <w:top w:val="single" w:sz="18" w:space="1" w:color="001A70" w:themeColor="accent1"/>
          <w:left w:val="single" w:sz="18" w:space="4" w:color="001A70" w:themeColor="accent1"/>
          <w:bottom w:val="single" w:sz="18" w:space="1" w:color="001A70" w:themeColor="accent1"/>
          <w:right w:val="single" w:sz="18" w:space="4" w:color="001A70" w:themeColor="accent1"/>
        </w:pBdr>
        <w:spacing w:line="240" w:lineRule="auto"/>
        <w:rPr>
          <w:rFonts w:ascii="Calibri" w:hAnsi="Calibri" w:cs="Calibri"/>
          <w:szCs w:val="20"/>
          <w:lang w:val="en-GB"/>
        </w:rPr>
      </w:pPr>
    </w:p>
    <w:p w14:paraId="5AC4D3E6" w14:textId="5754494B" w:rsidR="003D012F" w:rsidRPr="003D012F" w:rsidRDefault="00F030AE" w:rsidP="00141056">
      <w:pPr>
        <w:pStyle w:val="Textecourant"/>
        <w:pBdr>
          <w:top w:val="single" w:sz="18" w:space="1" w:color="001A70" w:themeColor="accent1"/>
          <w:left w:val="single" w:sz="18" w:space="4" w:color="001A70" w:themeColor="accent1"/>
          <w:bottom w:val="single" w:sz="18" w:space="1" w:color="001A70" w:themeColor="accent1"/>
          <w:right w:val="single" w:sz="18" w:space="4" w:color="001A70" w:themeColor="accent1"/>
        </w:pBdr>
        <w:spacing w:line="240" w:lineRule="auto"/>
        <w:rPr>
          <w:rFonts w:ascii="Calibri" w:hAnsi="Calibri" w:cs="Calibri"/>
          <w:szCs w:val="20"/>
          <w:lang w:val="en-GB"/>
        </w:rPr>
      </w:pPr>
      <w:r w:rsidRPr="00F030AE">
        <w:rPr>
          <w:rFonts w:ascii="Calibri" w:hAnsi="Calibri" w:cs="Calibri"/>
          <w:szCs w:val="20"/>
          <w:lang w:val="en-GB"/>
        </w:rPr>
        <w:t xml:space="preserve">The combined advantages of the </w:t>
      </w:r>
      <w:r w:rsidRPr="00F030AE">
        <w:rPr>
          <w:rFonts w:ascii="Calibri" w:hAnsi="Calibri" w:cs="Calibri"/>
          <w:b/>
          <w:bCs/>
          <w:szCs w:val="20"/>
          <w:lang w:val="en-GB"/>
        </w:rPr>
        <w:t>fleet effect</w:t>
      </w:r>
      <w:r w:rsidRPr="00F030AE">
        <w:rPr>
          <w:rFonts w:ascii="Calibri" w:hAnsi="Calibri" w:cs="Calibri"/>
          <w:szCs w:val="20"/>
          <w:lang w:val="en-GB"/>
        </w:rPr>
        <w:t>—procuring and building multiple reactors simultaneously</w:t>
      </w:r>
      <w:r w:rsidR="001B52A5">
        <w:rPr>
          <w:rFonts w:ascii="Calibri" w:hAnsi="Calibri" w:cs="Calibri"/>
          <w:szCs w:val="20"/>
          <w:lang w:val="en-GB"/>
        </w:rPr>
        <w:t xml:space="preserve"> or in an optimised sequence</w:t>
      </w:r>
      <w:r w:rsidRPr="00F030AE">
        <w:rPr>
          <w:rFonts w:ascii="Calibri" w:hAnsi="Calibri" w:cs="Calibri"/>
          <w:szCs w:val="20"/>
          <w:lang w:val="en-GB"/>
        </w:rPr>
        <w:t xml:space="preserve"> within the country—and the </w:t>
      </w:r>
      <w:r w:rsidRPr="00F030AE">
        <w:rPr>
          <w:rFonts w:ascii="Calibri" w:hAnsi="Calibri" w:cs="Calibri"/>
          <w:b/>
          <w:bCs/>
          <w:szCs w:val="20"/>
          <w:lang w:val="en-GB"/>
        </w:rPr>
        <w:t>site effect</w:t>
      </w:r>
      <w:r w:rsidRPr="00F030AE">
        <w:rPr>
          <w:rFonts w:ascii="Calibri" w:hAnsi="Calibri" w:cs="Calibri"/>
          <w:szCs w:val="20"/>
          <w:lang w:val="en-GB"/>
        </w:rPr>
        <w:t>—optimi</w:t>
      </w:r>
      <w:r w:rsidR="007F0234">
        <w:rPr>
          <w:rFonts w:ascii="Calibri" w:hAnsi="Calibri" w:cs="Calibri"/>
          <w:szCs w:val="20"/>
          <w:lang w:val="en-GB"/>
        </w:rPr>
        <w:t>s</w:t>
      </w:r>
      <w:r w:rsidRPr="00F030AE">
        <w:rPr>
          <w:rFonts w:ascii="Calibri" w:hAnsi="Calibri" w:cs="Calibri"/>
          <w:szCs w:val="20"/>
          <w:lang w:val="en-GB"/>
        </w:rPr>
        <w:t>ing construction infrastructure, procedures, and schedules across successive units on the same site—are fully integrated into EDF's proposal.</w:t>
      </w:r>
      <w:r w:rsidR="003D012F">
        <w:rPr>
          <w:rFonts w:ascii="Calibri" w:hAnsi="Calibri" w:cs="Calibri"/>
          <w:szCs w:val="20"/>
          <w:lang w:val="en-GB"/>
        </w:rPr>
        <w:t xml:space="preserve"> </w:t>
      </w:r>
      <w:r w:rsidRPr="00F030AE">
        <w:rPr>
          <w:rFonts w:ascii="Calibri" w:hAnsi="Calibri" w:cs="Calibri"/>
          <w:szCs w:val="20"/>
          <w:lang w:val="en-GB"/>
        </w:rPr>
        <w:t xml:space="preserve">These benefits are elaborately detailed, drawing on EDF's and its industrial partners' experience of over 50 years in constructing nuclear reactors in France, the UK, and internationally. This proposal also incorporates </w:t>
      </w:r>
      <w:r>
        <w:rPr>
          <w:rFonts w:ascii="Calibri" w:hAnsi="Calibri" w:cs="Calibri"/>
          <w:szCs w:val="20"/>
          <w:lang w:val="en-GB"/>
        </w:rPr>
        <w:t>EDF’s</w:t>
      </w:r>
      <w:r w:rsidRPr="00F030AE">
        <w:rPr>
          <w:rFonts w:ascii="Calibri" w:hAnsi="Calibri" w:cs="Calibri"/>
          <w:szCs w:val="20"/>
          <w:lang w:val="en-GB"/>
        </w:rPr>
        <w:t xml:space="preserve"> most recent experiences and lessons learned from constructing EPR reactors in </w:t>
      </w:r>
      <w:r>
        <w:rPr>
          <w:rFonts w:ascii="Calibri" w:hAnsi="Calibri" w:cs="Calibri"/>
          <w:szCs w:val="20"/>
          <w:lang w:val="en-GB"/>
        </w:rPr>
        <w:t>France and the</w:t>
      </w:r>
      <w:r w:rsidRPr="00F030AE">
        <w:rPr>
          <w:rFonts w:ascii="Calibri" w:hAnsi="Calibri" w:cs="Calibri"/>
          <w:szCs w:val="20"/>
          <w:lang w:val="en-GB"/>
        </w:rPr>
        <w:t xml:space="preserve"> UK.</w:t>
      </w:r>
    </w:p>
    <w:p w14:paraId="604CECF3" w14:textId="77777777" w:rsidR="00090A6D" w:rsidRPr="00450A1C" w:rsidRDefault="00090A6D" w:rsidP="00090A6D">
      <w:pPr>
        <w:rPr>
          <w:lang w:val="en-GB"/>
        </w:rPr>
      </w:pPr>
    </w:p>
    <w:p w14:paraId="288CA237" w14:textId="6C72FE2E" w:rsidR="008264C3" w:rsidRPr="00E61610" w:rsidRDefault="008264C3" w:rsidP="00090A6D">
      <w:pPr>
        <w:pStyle w:val="Titrepage"/>
      </w:pPr>
      <w:r w:rsidRPr="00F625ED">
        <w:t>EDF’s vision for Dukovany 5 Nuclear Power</w:t>
      </w:r>
      <w:r w:rsidRPr="00E61610">
        <w:t xml:space="preserve"> Plant Project and the Czech Nuclear Programme</w:t>
      </w:r>
    </w:p>
    <w:p w14:paraId="6DC8A2B9" w14:textId="77777777" w:rsidR="00D747F5" w:rsidRPr="00B06A39" w:rsidRDefault="00D747F5" w:rsidP="00D747F5">
      <w:pPr>
        <w:pStyle w:val="Textecourant"/>
        <w:rPr>
          <w:rFonts w:ascii="Calibri" w:hAnsi="Calibri" w:cs="Calibri"/>
          <w:szCs w:val="20"/>
          <w:lang w:val="en-GB"/>
        </w:rPr>
      </w:pPr>
      <w:r w:rsidRPr="00B06A39">
        <w:rPr>
          <w:rFonts w:ascii="Calibri" w:hAnsi="Calibri" w:cs="Calibri"/>
          <w:szCs w:val="20"/>
          <w:lang w:val="en-GB"/>
        </w:rPr>
        <w:t xml:space="preserve">EDF’s proposal for the Czech nuclear programme is based on the principle of providing a long-term, sustainable carbon-free solution for the future eclectic mix of the Czech Republic that also </w:t>
      </w:r>
      <w:r w:rsidRPr="00B06A39">
        <w:rPr>
          <w:rFonts w:ascii="Calibri" w:hAnsi="Calibri" w:cs="Calibri"/>
          <w:b/>
          <w:bCs/>
          <w:szCs w:val="20"/>
          <w:lang w:val="en-GB"/>
        </w:rPr>
        <w:t>guarantees energy safety, security, and economic development for its citizens</w:t>
      </w:r>
      <w:r w:rsidRPr="00B06A39">
        <w:rPr>
          <w:rFonts w:ascii="Calibri" w:hAnsi="Calibri" w:cs="Calibri"/>
          <w:szCs w:val="20"/>
          <w:lang w:val="en-GB"/>
        </w:rPr>
        <w:t>.</w:t>
      </w:r>
    </w:p>
    <w:p w14:paraId="451775E3" w14:textId="77777777" w:rsidR="00D747F5" w:rsidRPr="00B06A39" w:rsidRDefault="00D747F5" w:rsidP="00D747F5">
      <w:pPr>
        <w:pStyle w:val="Textecourant"/>
        <w:rPr>
          <w:rFonts w:ascii="Calibri" w:hAnsi="Calibri" w:cs="Calibri"/>
          <w:szCs w:val="20"/>
          <w:lang w:val="en-GB"/>
        </w:rPr>
      </w:pPr>
    </w:p>
    <w:p w14:paraId="301267D9" w14:textId="77777777" w:rsidR="00D747F5" w:rsidRPr="00B06A39" w:rsidRDefault="00D747F5" w:rsidP="00D747F5">
      <w:pPr>
        <w:pStyle w:val="Textecourant"/>
        <w:rPr>
          <w:rFonts w:ascii="Calibri" w:hAnsi="Calibri" w:cs="Calibri"/>
          <w:szCs w:val="20"/>
          <w:lang w:val="en-GB"/>
        </w:rPr>
      </w:pPr>
      <w:r w:rsidRPr="00B06A39">
        <w:rPr>
          <w:rFonts w:ascii="Calibri" w:hAnsi="Calibri" w:cs="Calibri"/>
          <w:szCs w:val="20"/>
          <w:lang w:val="en-GB"/>
        </w:rPr>
        <w:t xml:space="preserve">EDF has specified and secured for EDUII, ČEZ and the Czech Republic a comprehensive offer to facilitate the </w:t>
      </w:r>
      <w:r w:rsidRPr="00B06A39">
        <w:rPr>
          <w:rFonts w:ascii="Calibri" w:hAnsi="Calibri" w:cs="Calibri"/>
          <w:b/>
          <w:bCs/>
          <w:szCs w:val="20"/>
          <w:lang w:val="en-GB"/>
        </w:rPr>
        <w:t>emergence of a sovereign and independent Czech nuclear programme</w:t>
      </w:r>
      <w:r w:rsidRPr="00B06A39">
        <w:rPr>
          <w:rFonts w:ascii="Calibri" w:hAnsi="Calibri" w:cs="Calibri"/>
          <w:szCs w:val="20"/>
          <w:lang w:val="en-GB"/>
        </w:rPr>
        <w:t>.</w:t>
      </w:r>
    </w:p>
    <w:p w14:paraId="4D26B644" w14:textId="77777777" w:rsidR="00D747F5" w:rsidRPr="00B06A39" w:rsidRDefault="00D747F5" w:rsidP="00D747F5">
      <w:pPr>
        <w:pStyle w:val="Textecourant"/>
        <w:rPr>
          <w:rFonts w:ascii="Calibri" w:hAnsi="Calibri" w:cs="Calibri"/>
          <w:szCs w:val="20"/>
          <w:lang w:val="en-GB"/>
        </w:rPr>
      </w:pPr>
    </w:p>
    <w:p w14:paraId="612B1EA6" w14:textId="77777777" w:rsidR="00D747F5" w:rsidRPr="00B06A39" w:rsidRDefault="00D747F5" w:rsidP="00D747F5">
      <w:pPr>
        <w:pStyle w:val="Textecourant"/>
        <w:rPr>
          <w:rFonts w:ascii="Calibri" w:hAnsi="Calibri" w:cs="Calibri"/>
          <w:szCs w:val="20"/>
          <w:lang w:val="en-GB"/>
        </w:rPr>
      </w:pPr>
      <w:r w:rsidRPr="00B06A39">
        <w:rPr>
          <w:rFonts w:ascii="Calibri" w:hAnsi="Calibri" w:cs="Calibri"/>
          <w:szCs w:val="20"/>
          <w:lang w:val="en-GB"/>
        </w:rPr>
        <w:t>EDF’s proposal is designed to establish a</w:t>
      </w:r>
      <w:r w:rsidRPr="00B06A39">
        <w:rPr>
          <w:rFonts w:ascii="Calibri" w:hAnsi="Calibri" w:cs="Calibri"/>
          <w:b/>
          <w:bCs/>
          <w:szCs w:val="20"/>
          <w:lang w:val="en-GB"/>
        </w:rPr>
        <w:t xml:space="preserve"> long-term Czech-French partnership that will serve as a driving force of the European nuclear renaissance.</w:t>
      </w:r>
      <w:r w:rsidRPr="00B06A39">
        <w:rPr>
          <w:rFonts w:ascii="Calibri" w:hAnsi="Calibri" w:cs="Calibri"/>
          <w:szCs w:val="20"/>
          <w:lang w:val="en-GB"/>
        </w:rPr>
        <w:t xml:space="preserve"> </w:t>
      </w:r>
    </w:p>
    <w:p w14:paraId="4E43BF3D" w14:textId="77777777" w:rsidR="00D747F5" w:rsidRPr="00B06A39" w:rsidRDefault="00D747F5" w:rsidP="00D747F5">
      <w:pPr>
        <w:pStyle w:val="Textecourant"/>
        <w:rPr>
          <w:rFonts w:ascii="Calibri" w:hAnsi="Calibri" w:cs="Calibri"/>
          <w:szCs w:val="20"/>
          <w:lang w:val="en-GB"/>
        </w:rPr>
      </w:pPr>
      <w:r w:rsidRPr="00B06A39">
        <w:rPr>
          <w:rFonts w:ascii="Calibri" w:hAnsi="Calibri" w:cs="Calibri"/>
          <w:szCs w:val="20"/>
          <w:lang w:val="en-GB"/>
        </w:rPr>
        <w:t xml:space="preserve">  </w:t>
      </w:r>
    </w:p>
    <w:p w14:paraId="180C6772" w14:textId="77777777" w:rsidR="00D747F5" w:rsidRPr="00B06A39" w:rsidRDefault="00D747F5" w:rsidP="00D747F5">
      <w:pPr>
        <w:pStyle w:val="Textecourant"/>
        <w:rPr>
          <w:rFonts w:ascii="Calibri" w:hAnsi="Calibri" w:cs="Calibri"/>
          <w:szCs w:val="20"/>
          <w:lang w:val="en-GB"/>
        </w:rPr>
      </w:pPr>
      <w:r w:rsidRPr="00B06A39">
        <w:rPr>
          <w:rFonts w:ascii="Calibri" w:hAnsi="Calibri" w:cs="Calibri"/>
          <w:szCs w:val="20"/>
          <w:lang w:val="en-GB"/>
        </w:rPr>
        <w:lastRenderedPageBreak/>
        <w:t xml:space="preserve">The proposed Czech-French partnership would serve as the backbone of the growing </w:t>
      </w:r>
      <w:r w:rsidRPr="00B06A39">
        <w:rPr>
          <w:rFonts w:ascii="Calibri" w:hAnsi="Calibri" w:cs="Calibri"/>
          <w:b/>
          <w:bCs/>
          <w:szCs w:val="20"/>
          <w:lang w:val="en-GB"/>
        </w:rPr>
        <w:t>European EPR family</w:t>
      </w:r>
      <w:r w:rsidRPr="00B06A39">
        <w:rPr>
          <w:rFonts w:ascii="Calibri" w:hAnsi="Calibri" w:cs="Calibri"/>
          <w:szCs w:val="20"/>
          <w:lang w:val="en-GB"/>
        </w:rPr>
        <w:t>. As such, it would secure the Czech Republic’s long-term and unhindered access to:</w:t>
      </w:r>
    </w:p>
    <w:p w14:paraId="2EE9438D" w14:textId="77777777" w:rsidR="00D747F5" w:rsidRPr="00B06A39" w:rsidRDefault="00D747F5" w:rsidP="00D747F5">
      <w:pPr>
        <w:pStyle w:val="Textecourant"/>
        <w:rPr>
          <w:rFonts w:ascii="Calibri" w:hAnsi="Calibri" w:cs="Calibri"/>
          <w:szCs w:val="20"/>
          <w:lang w:val="en-GB"/>
        </w:rPr>
      </w:pPr>
    </w:p>
    <w:p w14:paraId="45D14879" w14:textId="77777777" w:rsidR="00D747F5" w:rsidRPr="00B06A39" w:rsidRDefault="00D747F5" w:rsidP="00D747F5">
      <w:pPr>
        <w:pStyle w:val="Textecourant"/>
        <w:numPr>
          <w:ilvl w:val="0"/>
          <w:numId w:val="25"/>
        </w:numPr>
        <w:rPr>
          <w:rFonts w:ascii="Calibri" w:hAnsi="Calibri" w:cs="Calibri"/>
          <w:szCs w:val="20"/>
          <w:lang w:val="en-GB"/>
        </w:rPr>
      </w:pPr>
      <w:r w:rsidRPr="00B06A39">
        <w:rPr>
          <w:rFonts w:ascii="Calibri" w:hAnsi="Calibri" w:cs="Calibri"/>
          <w:b/>
          <w:bCs/>
          <w:szCs w:val="20"/>
          <w:lang w:val="en-GB"/>
        </w:rPr>
        <w:t>EPR1200 technology:</w:t>
      </w:r>
      <w:r w:rsidRPr="00B06A39">
        <w:rPr>
          <w:rFonts w:ascii="Calibri" w:hAnsi="Calibri" w:cs="Calibri"/>
          <w:szCs w:val="20"/>
          <w:lang w:val="en-GB"/>
        </w:rPr>
        <w:t xml:space="preserve"> adapted from EDF’s flagship GEN3+ European EPR technology, EPR1200 is designed to fit the needs defined by ČEZ and the Czech government,</w:t>
      </w:r>
    </w:p>
    <w:p w14:paraId="08D6120B" w14:textId="77777777" w:rsidR="00D747F5" w:rsidRPr="00B06A39" w:rsidRDefault="00D747F5" w:rsidP="00D747F5">
      <w:pPr>
        <w:pStyle w:val="Textecourant"/>
        <w:numPr>
          <w:ilvl w:val="0"/>
          <w:numId w:val="25"/>
        </w:numPr>
        <w:rPr>
          <w:rFonts w:ascii="Calibri" w:hAnsi="Calibri" w:cs="Calibri"/>
          <w:szCs w:val="20"/>
          <w:lang w:val="en-GB"/>
        </w:rPr>
      </w:pPr>
      <w:r w:rsidRPr="00B06A39">
        <w:rPr>
          <w:rFonts w:ascii="Calibri" w:hAnsi="Calibri" w:cs="Calibri"/>
          <w:b/>
          <w:bCs/>
          <w:szCs w:val="20"/>
          <w:lang w:val="en-GB"/>
        </w:rPr>
        <w:t>EPR Owner Operator Group</w:t>
      </w:r>
      <w:r w:rsidRPr="00B06A39">
        <w:rPr>
          <w:rFonts w:ascii="Calibri" w:hAnsi="Calibri" w:cs="Calibri"/>
          <w:szCs w:val="20"/>
          <w:lang w:val="en-GB"/>
        </w:rPr>
        <w:t>: access to the lessons-learned and sharing of experience brought by EPR construction projects and operating EPR plants in Europe and in the world,</w:t>
      </w:r>
    </w:p>
    <w:p w14:paraId="177ED96F" w14:textId="77777777" w:rsidR="00D747F5" w:rsidRPr="00B06A39" w:rsidRDefault="00D747F5" w:rsidP="00D747F5">
      <w:pPr>
        <w:pStyle w:val="Textecourant"/>
        <w:numPr>
          <w:ilvl w:val="0"/>
          <w:numId w:val="25"/>
        </w:numPr>
        <w:rPr>
          <w:rFonts w:ascii="Calibri" w:hAnsi="Calibri" w:cs="Calibri"/>
          <w:szCs w:val="20"/>
          <w:lang w:val="en-GB"/>
        </w:rPr>
      </w:pPr>
      <w:r w:rsidRPr="00B06A39">
        <w:rPr>
          <w:rFonts w:ascii="Calibri" w:hAnsi="Calibri" w:cs="Calibri"/>
          <w:b/>
          <w:bCs/>
          <w:szCs w:val="20"/>
          <w:lang w:val="en-GB"/>
        </w:rPr>
        <w:t>Secured access to services, equipment, and fuel</w:t>
      </w:r>
      <w:r w:rsidRPr="00B06A39">
        <w:rPr>
          <w:rFonts w:ascii="Calibri" w:hAnsi="Calibri" w:cs="Calibri"/>
          <w:szCs w:val="20"/>
          <w:lang w:val="en-GB"/>
        </w:rPr>
        <w:t>, thanks to a robust and growing European EPR family and European supply chain,</w:t>
      </w:r>
    </w:p>
    <w:p w14:paraId="78683BF5" w14:textId="77777777" w:rsidR="00D747F5" w:rsidRPr="00B06A39" w:rsidRDefault="00D747F5" w:rsidP="00D747F5">
      <w:pPr>
        <w:pStyle w:val="Textecourant"/>
        <w:numPr>
          <w:ilvl w:val="0"/>
          <w:numId w:val="25"/>
        </w:numPr>
        <w:rPr>
          <w:rFonts w:ascii="Calibri" w:hAnsi="Calibri" w:cs="Calibri"/>
          <w:szCs w:val="20"/>
          <w:lang w:val="en-GB"/>
        </w:rPr>
      </w:pPr>
      <w:r w:rsidRPr="00B06A39">
        <w:rPr>
          <w:rFonts w:ascii="Calibri" w:hAnsi="Calibri" w:cs="Calibri"/>
          <w:b/>
          <w:bCs/>
          <w:szCs w:val="20"/>
          <w:lang w:val="en-GB"/>
        </w:rPr>
        <w:t>Engagement and synergies with EDF’s EPR supply chain</w:t>
      </w:r>
      <w:r w:rsidRPr="00B06A39">
        <w:rPr>
          <w:rFonts w:ascii="Calibri" w:hAnsi="Calibri" w:cs="Calibri"/>
          <w:szCs w:val="20"/>
          <w:lang w:val="en-GB"/>
        </w:rPr>
        <w:t>; creating opportunities for the Czech industry participation in other EPR projects outside of the Czech Republic in order to establish a European EPR industrial platform,</w:t>
      </w:r>
    </w:p>
    <w:p w14:paraId="51D10E87" w14:textId="77777777" w:rsidR="00D747F5" w:rsidRPr="00B06A39" w:rsidRDefault="00D747F5" w:rsidP="00D747F5">
      <w:pPr>
        <w:pStyle w:val="Textecourant"/>
        <w:numPr>
          <w:ilvl w:val="0"/>
          <w:numId w:val="25"/>
        </w:numPr>
        <w:rPr>
          <w:rFonts w:ascii="Calibri" w:hAnsi="Calibri" w:cs="Calibri"/>
          <w:szCs w:val="20"/>
          <w:lang w:val="en-GB"/>
        </w:rPr>
      </w:pPr>
      <w:r w:rsidRPr="00B06A39">
        <w:rPr>
          <w:rFonts w:ascii="Calibri" w:hAnsi="Calibri" w:cs="Calibri"/>
          <w:b/>
          <w:bCs/>
          <w:szCs w:val="20"/>
          <w:lang w:val="en-GB"/>
        </w:rPr>
        <w:t>Reenforced technological, industrial, and political alignment</w:t>
      </w:r>
      <w:r w:rsidRPr="00B06A39">
        <w:rPr>
          <w:rFonts w:ascii="Calibri" w:hAnsi="Calibri" w:cs="Calibri"/>
          <w:szCs w:val="20"/>
          <w:lang w:val="en-GB"/>
        </w:rPr>
        <w:t xml:space="preserve"> between France and the Czech Republic in defending the future role of nuclear in the Europe.</w:t>
      </w:r>
    </w:p>
    <w:p w14:paraId="5C2739DE" w14:textId="77777777" w:rsidR="00D747F5" w:rsidRPr="00B06A39" w:rsidRDefault="00D747F5" w:rsidP="00D747F5">
      <w:pPr>
        <w:pStyle w:val="Textecourant"/>
        <w:ind w:left="720"/>
        <w:rPr>
          <w:rFonts w:ascii="Calibri" w:hAnsi="Calibri" w:cs="Calibri"/>
          <w:szCs w:val="20"/>
          <w:lang w:val="en-GB"/>
        </w:rPr>
      </w:pPr>
    </w:p>
    <w:p w14:paraId="67E3D7E8" w14:textId="109CCAB1" w:rsidR="00D747F5" w:rsidRDefault="00D747F5" w:rsidP="00D747F5">
      <w:pPr>
        <w:pStyle w:val="Textecourant"/>
        <w:rPr>
          <w:rFonts w:ascii="Calibri" w:hAnsi="Calibri" w:cs="Calibri"/>
          <w:szCs w:val="20"/>
          <w:lang w:val="en-GB"/>
        </w:rPr>
      </w:pPr>
      <w:r w:rsidRPr="00B06A39">
        <w:rPr>
          <w:rFonts w:ascii="Calibri" w:hAnsi="Calibri" w:cs="Calibri"/>
          <w:szCs w:val="20"/>
          <w:lang w:val="en-GB"/>
        </w:rPr>
        <w:t>In addition to the new a EPR1200 unit at Dukovany 5, EDF has been proactively elaborating a cohesive set of scenarios for a fleet approach in the Czech Republic for up to four EPR1200 units in total, following the request of ČEZ.</w:t>
      </w:r>
    </w:p>
    <w:p w14:paraId="6A18A165" w14:textId="77777777" w:rsidR="00D747F5" w:rsidRDefault="00D747F5" w:rsidP="00D747F5">
      <w:pPr>
        <w:pStyle w:val="Textecourant"/>
        <w:rPr>
          <w:rFonts w:ascii="Calibri" w:hAnsi="Calibri" w:cs="Calibri"/>
          <w:szCs w:val="20"/>
          <w:lang w:val="en-GB"/>
        </w:rPr>
      </w:pPr>
    </w:p>
    <w:p w14:paraId="18433A44" w14:textId="3DA9D4E9" w:rsidR="00D747F5" w:rsidRPr="00B06A39" w:rsidRDefault="00D747F5" w:rsidP="00D747F5">
      <w:pPr>
        <w:pStyle w:val="Textecourant"/>
        <w:rPr>
          <w:rFonts w:ascii="Calibri" w:hAnsi="Calibri" w:cs="Calibri"/>
          <w:szCs w:val="20"/>
          <w:lang w:val="en-GB"/>
        </w:rPr>
      </w:pPr>
      <w:r w:rsidRPr="00B06A39">
        <w:rPr>
          <w:rFonts w:ascii="Calibri" w:hAnsi="Calibri" w:cs="Calibri"/>
          <w:b/>
          <w:bCs/>
          <w:szCs w:val="20"/>
          <w:lang w:val="en-GB"/>
        </w:rPr>
        <w:t>The Czech Nuclear Programme at Dukovany and Temelín carries many similarities and opportunities for synergy with the French Nuclear programme.</w:t>
      </w:r>
      <w:r w:rsidRPr="00B06A39">
        <w:rPr>
          <w:rFonts w:ascii="Calibri" w:hAnsi="Calibri" w:cs="Calibri"/>
          <w:szCs w:val="20"/>
          <w:lang w:val="en-GB"/>
        </w:rPr>
        <w:t xml:space="preserve"> In February 2022, President Emanuel Macron confirmed the launch of a six-EPR2 reactor programme in France and further confirmed the willingness to extend the programme to 8 additional reactors for the second phase. The public consultation process has already begun for the first pair of units at </w:t>
      </w:r>
      <w:proofErr w:type="spellStart"/>
      <w:r w:rsidRPr="00B06A39">
        <w:rPr>
          <w:rFonts w:ascii="Calibri" w:hAnsi="Calibri" w:cs="Calibri"/>
          <w:szCs w:val="20"/>
          <w:lang w:val="en-GB"/>
        </w:rPr>
        <w:t>Penly</w:t>
      </w:r>
      <w:proofErr w:type="spellEnd"/>
      <w:r w:rsidRPr="00B06A39">
        <w:rPr>
          <w:rFonts w:ascii="Calibri" w:hAnsi="Calibri" w:cs="Calibri"/>
          <w:szCs w:val="20"/>
          <w:lang w:val="en-GB"/>
        </w:rPr>
        <w:t xml:space="preserve"> in Normandy, and the French government has </w:t>
      </w:r>
      <w:r w:rsidRPr="00B06A39">
        <w:rPr>
          <w:rFonts w:ascii="Calibri" w:hAnsi="Calibri" w:cs="Calibri"/>
          <w:szCs w:val="20"/>
        </w:rPr>
        <w:t>unveiled</w:t>
      </w:r>
      <w:r w:rsidR="009A1368">
        <w:rPr>
          <w:rFonts w:ascii="Calibri" w:hAnsi="Calibri" w:cs="Calibri"/>
          <w:szCs w:val="20"/>
        </w:rPr>
        <w:t xml:space="preserve"> in 2023</w:t>
      </w:r>
      <w:r w:rsidRPr="00B06A39">
        <w:rPr>
          <w:rFonts w:ascii="Calibri" w:hAnsi="Calibri" w:cs="Calibri"/>
          <w:szCs w:val="20"/>
        </w:rPr>
        <w:t xml:space="preserve"> a bill to speed up procedures related to the construction of new nuclear plants in the country. Preliminary site works at Penly will begin as soon in the summer of 2024.</w:t>
      </w:r>
    </w:p>
    <w:p w14:paraId="661F06F6" w14:textId="77777777" w:rsidR="00D747F5" w:rsidRPr="00B06A39" w:rsidRDefault="00D747F5" w:rsidP="00D747F5">
      <w:pPr>
        <w:pStyle w:val="Titrepage"/>
        <w:rPr>
          <w:rFonts w:ascii="Calibri" w:hAnsi="Calibri" w:cs="Calibri"/>
          <w:szCs w:val="28"/>
        </w:rPr>
      </w:pPr>
      <w:r w:rsidRPr="00B06A39">
        <w:rPr>
          <w:rFonts w:ascii="Calibri" w:hAnsi="Calibri" w:cs="Calibri"/>
          <w:szCs w:val="28"/>
        </w:rPr>
        <w:t>EDF’s strategy to embark Czech Industry for the Czech nuclear programme, and beyond</w:t>
      </w:r>
    </w:p>
    <w:p w14:paraId="2ADECC74" w14:textId="77777777" w:rsidR="00D747F5" w:rsidRPr="00B06A39" w:rsidRDefault="00D747F5" w:rsidP="00D747F5">
      <w:pPr>
        <w:pStyle w:val="Textecourant"/>
        <w:rPr>
          <w:rFonts w:ascii="Calibri" w:hAnsi="Calibri" w:cs="Calibri"/>
          <w:b/>
          <w:bCs/>
          <w:szCs w:val="20"/>
          <w:lang w:val="en-GB"/>
        </w:rPr>
      </w:pPr>
    </w:p>
    <w:p w14:paraId="24A8F2D8" w14:textId="77777777" w:rsidR="00D747F5" w:rsidRPr="00B06A39" w:rsidRDefault="00D747F5" w:rsidP="00D747F5">
      <w:pPr>
        <w:pStyle w:val="Textecourant"/>
        <w:rPr>
          <w:rFonts w:ascii="Calibri" w:hAnsi="Calibri" w:cs="Calibri"/>
          <w:szCs w:val="20"/>
          <w:lang w:val="en-GB"/>
        </w:rPr>
      </w:pPr>
      <w:r w:rsidRPr="00B06A39">
        <w:rPr>
          <w:rFonts w:ascii="Calibri" w:hAnsi="Calibri" w:cs="Calibri"/>
          <w:szCs w:val="20"/>
          <w:lang w:val="en-GB"/>
        </w:rPr>
        <w:t xml:space="preserve">EDF’s proposal to EDUII, ČEZ and the Czech Republic </w:t>
      </w:r>
      <w:r w:rsidRPr="00B06A39" w:rsidDel="00A02BC5">
        <w:rPr>
          <w:rFonts w:ascii="Calibri" w:hAnsi="Calibri" w:cs="Calibri"/>
          <w:szCs w:val="20"/>
          <w:lang w:val="en-GB"/>
        </w:rPr>
        <w:t xml:space="preserve">for </w:t>
      </w:r>
      <w:r w:rsidRPr="00B06A39">
        <w:rPr>
          <w:rFonts w:ascii="Calibri" w:hAnsi="Calibri" w:cs="Calibri"/>
          <w:szCs w:val="20"/>
          <w:lang w:val="en-GB"/>
        </w:rPr>
        <w:t xml:space="preserve">the Czech programme is the only </w:t>
      </w:r>
      <w:r w:rsidRPr="00B06A39">
        <w:rPr>
          <w:rFonts w:ascii="Calibri" w:hAnsi="Calibri" w:cs="Calibri"/>
          <w:b/>
          <w:bCs/>
          <w:szCs w:val="20"/>
          <w:lang w:val="en-GB"/>
        </w:rPr>
        <w:t>fully integrated and independent offer</w:t>
      </w:r>
      <w:r w:rsidRPr="00B06A39">
        <w:rPr>
          <w:rFonts w:ascii="Calibri" w:hAnsi="Calibri" w:cs="Calibri"/>
          <w:szCs w:val="20"/>
          <w:lang w:val="en-GB"/>
        </w:rPr>
        <w:t xml:space="preserve"> available that maximises the potential of the Czech nuclear industry.</w:t>
      </w:r>
    </w:p>
    <w:p w14:paraId="0078FB80" w14:textId="77777777" w:rsidR="00D747F5" w:rsidRPr="00B06A39" w:rsidRDefault="00D747F5" w:rsidP="00D747F5">
      <w:pPr>
        <w:pStyle w:val="Textecourant"/>
        <w:rPr>
          <w:rFonts w:ascii="Calibri" w:hAnsi="Calibri" w:cs="Calibri"/>
          <w:szCs w:val="20"/>
          <w:lang w:val="en-GB"/>
        </w:rPr>
      </w:pPr>
    </w:p>
    <w:p w14:paraId="3C55055D" w14:textId="77777777" w:rsidR="00D747F5" w:rsidRPr="00B06A39" w:rsidRDefault="00D747F5" w:rsidP="00D747F5">
      <w:pPr>
        <w:pStyle w:val="Textecourant"/>
        <w:rPr>
          <w:rFonts w:ascii="Calibri" w:hAnsi="Calibri" w:cs="Calibri"/>
          <w:szCs w:val="20"/>
          <w:lang w:val="en-GB"/>
        </w:rPr>
      </w:pPr>
      <w:r w:rsidRPr="00B06A39">
        <w:rPr>
          <w:rFonts w:ascii="Calibri" w:hAnsi="Calibri" w:cs="Calibri"/>
          <w:szCs w:val="20"/>
          <w:lang w:val="en-GB"/>
        </w:rPr>
        <w:t xml:space="preserve">EDF and the French nuclear industry, have over </w:t>
      </w:r>
      <w:r w:rsidRPr="00B06A39">
        <w:rPr>
          <w:rFonts w:ascii="Calibri" w:hAnsi="Calibri" w:cs="Calibri"/>
          <w:b/>
          <w:bCs/>
          <w:szCs w:val="20"/>
          <w:lang w:val="en-GB"/>
        </w:rPr>
        <w:t>40 years of experience in delivering new nuclear projects</w:t>
      </w:r>
      <w:r w:rsidRPr="00B06A39">
        <w:rPr>
          <w:rFonts w:ascii="Calibri" w:hAnsi="Calibri" w:cs="Calibri"/>
          <w:szCs w:val="20"/>
          <w:lang w:val="en-GB"/>
        </w:rPr>
        <w:t xml:space="preserve"> with high localised value in countries across the world. The French nuclear industry has extensive experience in exporting nuclear technology in particular in </w:t>
      </w:r>
      <w:r w:rsidRPr="00B06A39">
        <w:rPr>
          <w:rFonts w:ascii="Calibri" w:hAnsi="Calibri" w:cs="Calibri"/>
          <w:b/>
          <w:bCs/>
          <w:szCs w:val="20"/>
          <w:lang w:val="en-GB"/>
        </w:rPr>
        <w:t>Brazil, China, Finland, South Africa, South Korea, and the United Kingdom</w:t>
      </w:r>
      <w:r w:rsidRPr="00B06A39">
        <w:rPr>
          <w:rFonts w:ascii="Calibri" w:hAnsi="Calibri" w:cs="Calibri"/>
          <w:szCs w:val="20"/>
          <w:lang w:val="en-GB"/>
        </w:rPr>
        <w:t xml:space="preserve">. </w:t>
      </w:r>
    </w:p>
    <w:p w14:paraId="24BB8C8A" w14:textId="77777777" w:rsidR="00D747F5" w:rsidRPr="00B06A39" w:rsidRDefault="00D747F5" w:rsidP="00D747F5">
      <w:pPr>
        <w:pStyle w:val="Textecourant"/>
        <w:rPr>
          <w:rFonts w:ascii="Calibri" w:hAnsi="Calibri" w:cs="Calibri"/>
          <w:szCs w:val="20"/>
          <w:lang w:val="en-GB"/>
        </w:rPr>
      </w:pPr>
    </w:p>
    <w:p w14:paraId="4A0B6193" w14:textId="77777777" w:rsidR="00D747F5" w:rsidRPr="00B06A39" w:rsidRDefault="00D747F5" w:rsidP="00D747F5">
      <w:pPr>
        <w:pStyle w:val="Textecourant"/>
        <w:rPr>
          <w:rFonts w:ascii="Calibri" w:hAnsi="Calibri" w:cs="Calibri"/>
          <w:szCs w:val="20"/>
          <w:lang w:val="en-GB"/>
        </w:rPr>
      </w:pPr>
      <w:r w:rsidRPr="00B06A39">
        <w:rPr>
          <w:rFonts w:ascii="Calibri" w:hAnsi="Calibri" w:cs="Calibri"/>
          <w:szCs w:val="20"/>
          <w:lang w:val="en-GB"/>
        </w:rPr>
        <w:t xml:space="preserve">EDF has perfected and demonstrated its </w:t>
      </w:r>
      <w:r w:rsidRPr="00B06A39">
        <w:rPr>
          <w:rFonts w:ascii="Calibri" w:hAnsi="Calibri" w:cs="Calibri"/>
          <w:b/>
          <w:bCs/>
          <w:szCs w:val="20"/>
          <w:lang w:val="en-GB"/>
        </w:rPr>
        <w:t>comprehensive localisation strategy, that allows to maximise the value created</w:t>
      </w:r>
      <w:r w:rsidRPr="00B06A39">
        <w:rPr>
          <w:rFonts w:ascii="Calibri" w:hAnsi="Calibri" w:cs="Calibri"/>
          <w:szCs w:val="20"/>
          <w:lang w:val="en-GB"/>
        </w:rPr>
        <w:t xml:space="preserve"> through its projects on both local and national levels. Subsequently, EDF’s localisation process for EPR projects in Europe has proven its efficiency, namely in the United Kingdom, where the construction of two EPR units at Hinkley Point C (HPC) is </w:t>
      </w:r>
      <w:r w:rsidRPr="00B06A39">
        <w:rPr>
          <w:rFonts w:ascii="Calibri" w:hAnsi="Calibri" w:cs="Calibri"/>
          <w:b/>
          <w:bCs/>
          <w:szCs w:val="20"/>
          <w:lang w:val="en-GB"/>
        </w:rPr>
        <w:t>allocating 64% of the total value of the project to British businesses</w:t>
      </w:r>
      <w:r w:rsidRPr="00B06A39">
        <w:rPr>
          <w:rFonts w:ascii="Calibri" w:hAnsi="Calibri" w:cs="Calibri"/>
          <w:szCs w:val="20"/>
          <w:lang w:val="en-GB"/>
        </w:rPr>
        <w:t xml:space="preserve">. Across the United Kingdom </w:t>
      </w:r>
      <w:r w:rsidRPr="00B06A39">
        <w:rPr>
          <w:rFonts w:ascii="Calibri" w:hAnsi="Calibri" w:cs="Calibri"/>
          <w:b/>
          <w:bCs/>
          <w:szCs w:val="20"/>
          <w:lang w:val="en-GB"/>
        </w:rPr>
        <w:t>22,000</w:t>
      </w:r>
      <w:r w:rsidRPr="00B06A39">
        <w:rPr>
          <w:rFonts w:ascii="Calibri" w:hAnsi="Calibri" w:cs="Calibri"/>
          <w:szCs w:val="20"/>
          <w:lang w:val="en-GB"/>
        </w:rPr>
        <w:t xml:space="preserve"> people are currently working on HPC representing </w:t>
      </w:r>
      <w:r w:rsidRPr="00B06A39">
        <w:rPr>
          <w:rFonts w:ascii="Calibri" w:hAnsi="Calibri" w:cs="Calibri"/>
          <w:b/>
          <w:bCs/>
          <w:szCs w:val="20"/>
          <w:lang w:val="en-GB"/>
        </w:rPr>
        <w:t>3,600</w:t>
      </w:r>
      <w:r w:rsidRPr="00B06A39">
        <w:rPr>
          <w:rFonts w:ascii="Calibri" w:hAnsi="Calibri" w:cs="Calibri"/>
          <w:szCs w:val="20"/>
          <w:lang w:val="en-GB"/>
        </w:rPr>
        <w:t xml:space="preserve"> British businesses.</w:t>
      </w:r>
    </w:p>
    <w:p w14:paraId="31AB1D45" w14:textId="77777777" w:rsidR="00D747F5" w:rsidRPr="00B06A39" w:rsidRDefault="00D747F5" w:rsidP="00D747F5">
      <w:pPr>
        <w:pStyle w:val="Textecourant"/>
        <w:rPr>
          <w:rFonts w:ascii="Calibri" w:hAnsi="Calibri" w:cs="Calibri"/>
          <w:b/>
          <w:bCs/>
          <w:szCs w:val="20"/>
          <w:lang w:val="en-GB"/>
        </w:rPr>
      </w:pPr>
    </w:p>
    <w:p w14:paraId="0C8EA3E1" w14:textId="77777777" w:rsidR="00D747F5" w:rsidRPr="00B06A39" w:rsidRDefault="00D747F5" w:rsidP="00D747F5">
      <w:pPr>
        <w:pStyle w:val="Textecourant"/>
        <w:rPr>
          <w:rFonts w:ascii="Calibri" w:hAnsi="Calibri" w:cs="Calibri"/>
          <w:b/>
          <w:szCs w:val="20"/>
          <w:lang w:val="en-GB"/>
        </w:rPr>
      </w:pPr>
      <w:r w:rsidRPr="00B06A39">
        <w:rPr>
          <w:rFonts w:ascii="Calibri" w:hAnsi="Calibri" w:cs="Calibri"/>
          <w:b/>
          <w:bCs/>
          <w:szCs w:val="20"/>
          <w:lang w:val="en-GB"/>
        </w:rPr>
        <w:lastRenderedPageBreak/>
        <w:t>EDF’s proposed localisation process for Czechia has been adapted to take into account the already impressive and experienced industrial skills and capacity of the Czech Nuclear Industry</w:t>
      </w:r>
    </w:p>
    <w:p w14:paraId="5731B0F9" w14:textId="77777777" w:rsidR="00D747F5" w:rsidRPr="00B06A39" w:rsidRDefault="00D747F5" w:rsidP="00D747F5">
      <w:pPr>
        <w:pStyle w:val="Textecourant"/>
        <w:rPr>
          <w:rFonts w:ascii="Calibri" w:hAnsi="Calibri" w:cs="Calibri"/>
          <w:szCs w:val="20"/>
          <w:lang w:val="en-GB"/>
        </w:rPr>
      </w:pPr>
      <w:r w:rsidRPr="00B06A39">
        <w:rPr>
          <w:rFonts w:ascii="Calibri" w:hAnsi="Calibri" w:cs="Calibri"/>
          <w:szCs w:val="20"/>
          <w:lang w:val="en-GB"/>
        </w:rPr>
        <w:t xml:space="preserve">Several major Czech companies are </w:t>
      </w:r>
      <w:r w:rsidRPr="00B06A39">
        <w:rPr>
          <w:rFonts w:ascii="Calibri" w:hAnsi="Calibri" w:cs="Calibri"/>
          <w:b/>
          <w:bCs/>
          <w:szCs w:val="20"/>
          <w:lang w:val="en-GB"/>
        </w:rPr>
        <w:t>already part of the EPR supply chain</w:t>
      </w:r>
      <w:r w:rsidRPr="00B06A39">
        <w:rPr>
          <w:rFonts w:ascii="Calibri" w:hAnsi="Calibri" w:cs="Calibri"/>
          <w:szCs w:val="20"/>
          <w:lang w:val="en-GB"/>
        </w:rPr>
        <w:t>, participating in EPR projects in the UK and in Finland. EDF hopes to further intensify collaboration with Czech companies to participate in future EPR development not only in the Czech Republic but also in the rest of Europe, including in France.</w:t>
      </w:r>
    </w:p>
    <w:p w14:paraId="285F302D" w14:textId="77777777" w:rsidR="00D747F5" w:rsidRPr="00B06A39" w:rsidRDefault="00D747F5" w:rsidP="00D747F5">
      <w:pPr>
        <w:pStyle w:val="Textecourant"/>
        <w:rPr>
          <w:rFonts w:ascii="Calibri" w:hAnsi="Calibri" w:cs="Calibri"/>
          <w:szCs w:val="20"/>
          <w:lang w:val="en-GB"/>
        </w:rPr>
      </w:pPr>
    </w:p>
    <w:p w14:paraId="66C80184" w14:textId="6FFD5416" w:rsidR="00D747F5" w:rsidRPr="00B06A39" w:rsidRDefault="00D747F5" w:rsidP="00D747F5">
      <w:pPr>
        <w:pStyle w:val="Textecourant"/>
        <w:rPr>
          <w:rFonts w:ascii="Calibri" w:hAnsi="Calibri" w:cs="Calibri"/>
          <w:szCs w:val="20"/>
          <w:lang w:val="en-GB"/>
        </w:rPr>
      </w:pPr>
      <w:r w:rsidRPr="00B06A39">
        <w:rPr>
          <w:rFonts w:ascii="Calibri" w:hAnsi="Calibri" w:cs="Calibri"/>
          <w:szCs w:val="20"/>
          <w:lang w:val="en-GB"/>
        </w:rPr>
        <w:t xml:space="preserve">Furthermore, beyond the Czech new nuclear programme, EDF </w:t>
      </w:r>
      <w:r w:rsidR="00EA1316">
        <w:rPr>
          <w:rFonts w:ascii="Calibri" w:hAnsi="Calibri" w:cs="Calibri"/>
          <w:szCs w:val="20"/>
          <w:lang w:val="en-GB"/>
        </w:rPr>
        <w:t>aims</w:t>
      </w:r>
      <w:r w:rsidRPr="00B06A39">
        <w:rPr>
          <w:rFonts w:ascii="Calibri" w:hAnsi="Calibri" w:cs="Calibri"/>
          <w:szCs w:val="20"/>
          <w:lang w:val="en-GB"/>
        </w:rPr>
        <w:t xml:space="preserve"> to further intensify collaboration with Czech companies to </w:t>
      </w:r>
      <w:r w:rsidRPr="00B06A39">
        <w:rPr>
          <w:rFonts w:ascii="Calibri" w:hAnsi="Calibri" w:cs="Calibri"/>
          <w:b/>
          <w:bCs/>
          <w:szCs w:val="20"/>
          <w:lang w:val="en-GB"/>
        </w:rPr>
        <w:t>participate in future EPR and EPR1200 projects</w:t>
      </w:r>
      <w:r w:rsidRPr="00B06A39">
        <w:rPr>
          <w:rFonts w:ascii="Calibri" w:hAnsi="Calibri" w:cs="Calibri"/>
          <w:szCs w:val="20"/>
          <w:lang w:val="en-GB"/>
        </w:rPr>
        <w:t xml:space="preserve"> in the rest of Europe, including in France, and around the globe.</w:t>
      </w:r>
    </w:p>
    <w:p w14:paraId="21EF169F" w14:textId="77777777" w:rsidR="00D747F5" w:rsidRPr="00B06A39" w:rsidRDefault="00D747F5" w:rsidP="00D747F5">
      <w:pPr>
        <w:pStyle w:val="Textecourant"/>
        <w:rPr>
          <w:rFonts w:ascii="Calibri" w:hAnsi="Calibri" w:cs="Calibri"/>
          <w:szCs w:val="20"/>
          <w:lang w:val="en-GB"/>
        </w:rPr>
      </w:pPr>
    </w:p>
    <w:p w14:paraId="6C439A4A" w14:textId="77777777" w:rsidR="00D747F5" w:rsidRPr="00B06A39" w:rsidRDefault="00D747F5" w:rsidP="00D747F5">
      <w:pPr>
        <w:jc w:val="both"/>
        <w:rPr>
          <w:rFonts w:ascii="Calibri" w:hAnsi="Calibri" w:cs="Calibri"/>
          <w:color w:val="001A70" w:themeColor="accent1"/>
          <w:szCs w:val="20"/>
          <w:lang w:val="en-GB"/>
        </w:rPr>
      </w:pPr>
      <w:r w:rsidRPr="00B06A39">
        <w:rPr>
          <w:rFonts w:ascii="Calibri" w:hAnsi="Calibri" w:cs="Calibri"/>
          <w:color w:val="001A70" w:themeColor="accent1"/>
          <w:szCs w:val="20"/>
          <w:lang w:val="en-GB"/>
        </w:rPr>
        <w:t>As of today, EDF has conducted an extensive assessment of the Czech nuclear and industrial supply chain, covering a variety of scopes of activity. A</w:t>
      </w:r>
      <w:r w:rsidRPr="00B06A39">
        <w:rPr>
          <w:rFonts w:ascii="Calibri" w:hAnsi="Calibri" w:cs="Calibri"/>
          <w:szCs w:val="20"/>
        </w:rPr>
        <w:t xml:space="preserve"> </w:t>
      </w:r>
      <w:r w:rsidRPr="00B06A39">
        <w:rPr>
          <w:rFonts w:ascii="Calibri" w:hAnsi="Calibri" w:cs="Calibri"/>
          <w:b/>
          <w:bCs/>
          <w:color w:val="001A70" w:themeColor="accent1"/>
          <w:szCs w:val="20"/>
        </w:rPr>
        <w:t>comprehensive mapping of the industrial capabilities and capacities</w:t>
      </w:r>
      <w:r w:rsidRPr="00B06A39">
        <w:rPr>
          <w:rFonts w:ascii="Calibri" w:hAnsi="Calibri" w:cs="Calibri"/>
          <w:color w:val="001A70" w:themeColor="accent1"/>
          <w:szCs w:val="20"/>
        </w:rPr>
        <w:t xml:space="preserve"> </w:t>
      </w:r>
      <w:r w:rsidRPr="00B06A39">
        <w:rPr>
          <w:rFonts w:ascii="Calibri" w:hAnsi="Calibri" w:cs="Calibri"/>
          <w:color w:val="001A70" w:themeColor="accent1"/>
          <w:szCs w:val="20"/>
          <w:lang w:val="en-GB"/>
        </w:rPr>
        <w:t>has been established in the fields of Mechanical and Electrical equipment, Erection Activities, Balance-of-Plant Processes, Cooling Towers, Radiation Monitoring Systems, HVAC and Civil Works, notably following the recommended list of the Czech Ministry of Industry and Trade.</w:t>
      </w:r>
    </w:p>
    <w:p w14:paraId="7883027D" w14:textId="77777777" w:rsidR="00D747F5" w:rsidRPr="00B06A39" w:rsidRDefault="00D747F5" w:rsidP="00D747F5">
      <w:pPr>
        <w:rPr>
          <w:rFonts w:ascii="Calibri" w:hAnsi="Calibri" w:cs="Calibri"/>
          <w:color w:val="001A70" w:themeColor="accent1"/>
          <w:szCs w:val="20"/>
          <w:lang w:val="en-GB"/>
        </w:rPr>
      </w:pPr>
    </w:p>
    <w:p w14:paraId="55036E1E" w14:textId="77777777" w:rsidR="00D747F5" w:rsidRPr="00B06A39" w:rsidRDefault="00D747F5" w:rsidP="00D747F5">
      <w:pPr>
        <w:rPr>
          <w:rFonts w:ascii="Calibri" w:hAnsi="Calibri" w:cs="Calibri"/>
          <w:color w:val="001A70" w:themeColor="accent1"/>
          <w:szCs w:val="20"/>
          <w:lang w:val="en-GB"/>
        </w:rPr>
      </w:pPr>
      <w:r w:rsidRPr="00B06A39">
        <w:rPr>
          <w:rFonts w:ascii="Calibri" w:hAnsi="Calibri" w:cs="Calibri"/>
          <w:color w:val="001A70" w:themeColor="accent1"/>
          <w:szCs w:val="20"/>
          <w:lang w:val="en-GB"/>
        </w:rPr>
        <w:t xml:space="preserve">EDF has gone as far as to officially submitting </w:t>
      </w:r>
      <w:r w:rsidRPr="00B06A39">
        <w:rPr>
          <w:rFonts w:ascii="Calibri" w:hAnsi="Calibri" w:cs="Calibri"/>
          <w:b/>
          <w:bCs/>
          <w:color w:val="001A70" w:themeColor="accent1"/>
          <w:szCs w:val="20"/>
          <w:lang w:val="en-GB"/>
        </w:rPr>
        <w:t>tens of Requests For Quotation (RFQs) to Czech suppliers for the Dukovany 5 project</w:t>
      </w:r>
      <w:r w:rsidRPr="00B06A39">
        <w:rPr>
          <w:rFonts w:ascii="Calibri" w:hAnsi="Calibri" w:cs="Calibri"/>
          <w:color w:val="001A70" w:themeColor="accent1"/>
          <w:szCs w:val="20"/>
          <w:lang w:val="en-GB"/>
        </w:rPr>
        <w:t>. In all, nearly</w:t>
      </w:r>
      <w:r w:rsidRPr="00B06A39">
        <w:rPr>
          <w:rFonts w:ascii="Calibri" w:hAnsi="Calibri" w:cs="Calibri"/>
          <w:szCs w:val="20"/>
        </w:rPr>
        <w:t xml:space="preserve"> </w:t>
      </w:r>
      <w:r w:rsidRPr="00B06A39">
        <w:rPr>
          <w:rFonts w:ascii="Calibri" w:hAnsi="Calibri" w:cs="Calibri"/>
          <w:b/>
          <w:bCs/>
          <w:color w:val="001A70" w:themeColor="accent1"/>
          <w:szCs w:val="20"/>
        </w:rPr>
        <w:t>300 companies</w:t>
      </w:r>
      <w:r w:rsidRPr="00B06A39">
        <w:rPr>
          <w:rFonts w:ascii="Calibri" w:hAnsi="Calibri" w:cs="Calibri"/>
          <w:szCs w:val="20"/>
        </w:rPr>
        <w:t xml:space="preserve"> </w:t>
      </w:r>
      <w:r w:rsidRPr="00B06A39">
        <w:rPr>
          <w:rFonts w:ascii="Calibri" w:hAnsi="Calibri" w:cs="Calibri"/>
          <w:color w:val="001A70" w:themeColor="accent1"/>
          <w:szCs w:val="20"/>
          <w:lang w:val="en-GB"/>
        </w:rPr>
        <w:t>have been</w:t>
      </w:r>
      <w:r w:rsidRPr="00B06A39">
        <w:rPr>
          <w:rFonts w:ascii="Calibri" w:hAnsi="Calibri" w:cs="Calibri"/>
          <w:szCs w:val="20"/>
        </w:rPr>
        <w:t xml:space="preserve"> </w:t>
      </w:r>
      <w:r w:rsidRPr="00B06A39">
        <w:rPr>
          <w:rFonts w:ascii="Calibri" w:hAnsi="Calibri" w:cs="Calibri"/>
          <w:color w:val="001A70" w:themeColor="accent1"/>
          <w:szCs w:val="20"/>
        </w:rPr>
        <w:t>screened</w:t>
      </w:r>
      <w:r w:rsidRPr="00B06A39">
        <w:rPr>
          <w:rFonts w:ascii="Calibri" w:hAnsi="Calibri" w:cs="Calibri"/>
          <w:szCs w:val="20"/>
        </w:rPr>
        <w:t xml:space="preserve">, </w:t>
      </w:r>
      <w:r w:rsidRPr="00B06A39">
        <w:rPr>
          <w:rFonts w:ascii="Calibri" w:hAnsi="Calibri" w:cs="Calibri"/>
          <w:b/>
          <w:bCs/>
          <w:color w:val="001A70" w:themeColor="accent1"/>
          <w:szCs w:val="20"/>
          <w:lang w:val="en-GB"/>
        </w:rPr>
        <w:t xml:space="preserve">more than one hundred </w:t>
      </w:r>
      <w:r w:rsidRPr="00B06A39">
        <w:rPr>
          <w:rFonts w:ascii="Calibri" w:hAnsi="Calibri" w:cs="Calibri"/>
          <w:color w:val="001A70" w:themeColor="accent1"/>
          <w:szCs w:val="20"/>
          <w:lang w:val="en-GB"/>
        </w:rPr>
        <w:t>of which have been sent a</w:t>
      </w:r>
      <w:r w:rsidRPr="00B06A39">
        <w:rPr>
          <w:rFonts w:ascii="Calibri" w:hAnsi="Calibri" w:cs="Calibri"/>
          <w:szCs w:val="20"/>
        </w:rPr>
        <w:t xml:space="preserve"> </w:t>
      </w:r>
      <w:r w:rsidRPr="00B06A39">
        <w:rPr>
          <w:rFonts w:ascii="Calibri" w:hAnsi="Calibri" w:cs="Calibri"/>
          <w:b/>
          <w:bCs/>
          <w:color w:val="001A70" w:themeColor="accent1"/>
          <w:szCs w:val="20"/>
        </w:rPr>
        <w:t>Request for Information</w:t>
      </w:r>
      <w:r w:rsidRPr="00B06A39">
        <w:rPr>
          <w:rFonts w:ascii="Calibri" w:hAnsi="Calibri" w:cs="Calibri"/>
          <w:szCs w:val="20"/>
        </w:rPr>
        <w:t xml:space="preserve"> </w:t>
      </w:r>
      <w:r w:rsidRPr="00B06A39">
        <w:rPr>
          <w:rFonts w:ascii="Calibri" w:hAnsi="Calibri" w:cs="Calibri"/>
          <w:color w:val="001A70" w:themeColor="accent1"/>
          <w:szCs w:val="20"/>
          <w:lang w:val="en-GB"/>
        </w:rPr>
        <w:t>questionnaires, and</w:t>
      </w:r>
      <w:r w:rsidRPr="00B06A39">
        <w:rPr>
          <w:rFonts w:ascii="Calibri" w:hAnsi="Calibri" w:cs="Calibri"/>
          <w:szCs w:val="20"/>
        </w:rPr>
        <w:t xml:space="preserve"> </w:t>
      </w:r>
      <w:r w:rsidRPr="00B06A39">
        <w:rPr>
          <w:rFonts w:ascii="Calibri" w:hAnsi="Calibri" w:cs="Calibri"/>
          <w:b/>
          <w:bCs/>
          <w:color w:val="001A70" w:themeColor="accent1"/>
          <w:szCs w:val="20"/>
        </w:rPr>
        <w:t>formal relationships</w:t>
      </w:r>
      <w:r w:rsidRPr="00B06A39">
        <w:rPr>
          <w:rFonts w:ascii="Calibri" w:hAnsi="Calibri" w:cs="Calibri"/>
          <w:szCs w:val="20"/>
        </w:rPr>
        <w:t xml:space="preserve"> </w:t>
      </w:r>
      <w:r w:rsidRPr="00B06A39">
        <w:rPr>
          <w:rFonts w:ascii="Calibri" w:hAnsi="Calibri" w:cs="Calibri"/>
          <w:color w:val="001A70" w:themeColor="accent1"/>
          <w:szCs w:val="20"/>
          <w:lang w:val="en-GB"/>
        </w:rPr>
        <w:t xml:space="preserve">have been established with over </w:t>
      </w:r>
      <w:r w:rsidRPr="00B06A39">
        <w:rPr>
          <w:rFonts w:ascii="Calibri" w:hAnsi="Calibri" w:cs="Calibri"/>
          <w:b/>
          <w:bCs/>
          <w:color w:val="001A70" w:themeColor="accent1"/>
          <w:szCs w:val="20"/>
          <w:lang w:val="en-GB"/>
        </w:rPr>
        <w:t>70 local players.</w:t>
      </w:r>
    </w:p>
    <w:p w14:paraId="7FA466B6" w14:textId="77777777" w:rsidR="00D747F5" w:rsidRPr="00B06A39" w:rsidRDefault="00D747F5" w:rsidP="00D747F5">
      <w:pPr>
        <w:pStyle w:val="Textecourant"/>
        <w:rPr>
          <w:rFonts w:ascii="Calibri" w:hAnsi="Calibri" w:cs="Calibri"/>
          <w:szCs w:val="20"/>
        </w:rPr>
      </w:pPr>
    </w:p>
    <w:p w14:paraId="610550F2" w14:textId="2B811C71" w:rsidR="00D747F5" w:rsidRPr="00B06A39" w:rsidRDefault="00D747F5" w:rsidP="00D747F5">
      <w:pPr>
        <w:spacing w:after="160" w:line="259" w:lineRule="auto"/>
        <w:rPr>
          <w:rFonts w:ascii="Calibri" w:hAnsi="Calibri" w:cs="Calibri"/>
          <w:color w:val="001A70" w:themeColor="accent1"/>
          <w:szCs w:val="20"/>
          <w:lang w:val="en-GB"/>
        </w:rPr>
      </w:pPr>
      <w:r w:rsidRPr="00B06A39">
        <w:rPr>
          <w:rFonts w:ascii="Calibri" w:hAnsi="Calibri" w:cs="Calibri"/>
          <w:color w:val="001A70" w:themeColor="accent1"/>
          <w:szCs w:val="20"/>
          <w:lang w:val="en-GB"/>
        </w:rPr>
        <w:t>Moreover, since November 2021,</w:t>
      </w:r>
      <w:r w:rsidRPr="00B06A39">
        <w:rPr>
          <w:rFonts w:ascii="Calibri" w:hAnsi="Calibri" w:cs="Calibri"/>
          <w:szCs w:val="20"/>
        </w:rPr>
        <w:t xml:space="preserve"> </w:t>
      </w:r>
      <w:r w:rsidR="00C26BB5">
        <w:rPr>
          <w:rStyle w:val="Relief"/>
          <w:rFonts w:ascii="Calibri" w:hAnsi="Calibri" w:cs="Calibri"/>
          <w:color w:val="001A70" w:themeColor="accent1"/>
          <w:szCs w:val="20"/>
          <w:lang w:val="en-US"/>
        </w:rPr>
        <w:t>+30</w:t>
      </w:r>
      <w:r w:rsidRPr="00B06A39">
        <w:rPr>
          <w:rStyle w:val="Relief"/>
          <w:rFonts w:ascii="Calibri" w:hAnsi="Calibri" w:cs="Calibri"/>
          <w:color w:val="001A70" w:themeColor="accent1"/>
          <w:szCs w:val="20"/>
          <w:lang w:val="en-US"/>
        </w:rPr>
        <w:t xml:space="preserve"> Memoranda of Cooperation</w:t>
      </w:r>
      <w:r w:rsidRPr="00B06A39">
        <w:rPr>
          <w:rFonts w:ascii="Calibri" w:hAnsi="Calibri" w:cs="Calibri"/>
          <w:color w:val="001A70" w:themeColor="accent1"/>
          <w:szCs w:val="20"/>
        </w:rPr>
        <w:t xml:space="preserve"> </w:t>
      </w:r>
      <w:r w:rsidRPr="00B06A39">
        <w:rPr>
          <w:rFonts w:ascii="Calibri" w:hAnsi="Calibri" w:cs="Calibri"/>
          <w:color w:val="001A70" w:themeColor="accent1"/>
          <w:szCs w:val="20"/>
          <w:lang w:val="en-GB"/>
        </w:rPr>
        <w:t>have been signed between EDF and major Czech major companies, including with the Czech Power Industry Alliance (CPIA):</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D747F5" w:rsidRPr="00B06A39" w14:paraId="1D927D5C" w14:textId="77777777">
        <w:tc>
          <w:tcPr>
            <w:tcW w:w="3020" w:type="dxa"/>
          </w:tcPr>
          <w:p w14:paraId="23FF456F" w14:textId="77777777" w:rsidR="00D747F5" w:rsidRPr="00B06A39" w:rsidRDefault="00D747F5" w:rsidP="00D747F5">
            <w:pPr>
              <w:numPr>
                <w:ilvl w:val="0"/>
                <w:numId w:val="29"/>
              </w:numPr>
              <w:spacing w:before="120"/>
              <w:jc w:val="both"/>
              <w:rPr>
                <w:rFonts w:ascii="Calibri" w:hAnsi="Calibri" w:cs="Calibri"/>
                <w:b/>
                <w:bCs/>
                <w:color w:val="001A70" w:themeColor="accent1"/>
                <w:szCs w:val="20"/>
                <w:lang w:val="en-GB"/>
              </w:rPr>
            </w:pPr>
            <w:r w:rsidRPr="00B06A39">
              <w:rPr>
                <w:rFonts w:ascii="Calibri" w:hAnsi="Calibri" w:cs="Calibri"/>
                <w:b/>
                <w:bCs/>
                <w:color w:val="001A70" w:themeColor="accent1"/>
                <w:szCs w:val="20"/>
                <w:lang w:val="en-GB"/>
              </w:rPr>
              <w:t>ABO Valve</w:t>
            </w:r>
          </w:p>
          <w:p w14:paraId="13176DEC" w14:textId="77777777" w:rsidR="00D747F5" w:rsidRPr="00B06A39" w:rsidRDefault="00D747F5" w:rsidP="00D747F5">
            <w:pPr>
              <w:numPr>
                <w:ilvl w:val="0"/>
                <w:numId w:val="29"/>
              </w:numPr>
              <w:spacing w:before="120"/>
              <w:jc w:val="both"/>
              <w:rPr>
                <w:rFonts w:ascii="Calibri" w:hAnsi="Calibri" w:cs="Calibri"/>
                <w:b/>
                <w:bCs/>
                <w:color w:val="001A70" w:themeColor="accent1"/>
                <w:szCs w:val="20"/>
                <w:lang w:val="en-GB"/>
              </w:rPr>
            </w:pPr>
            <w:r w:rsidRPr="00B06A39">
              <w:rPr>
                <w:rFonts w:ascii="Calibri" w:hAnsi="Calibri" w:cs="Calibri"/>
                <w:b/>
                <w:bCs/>
                <w:color w:val="001A70" w:themeColor="accent1"/>
                <w:szCs w:val="20"/>
                <w:lang w:val="en-GB"/>
              </w:rPr>
              <w:t>ADAMEC</w:t>
            </w:r>
          </w:p>
          <w:p w14:paraId="04E0ABDD" w14:textId="77777777" w:rsidR="00D747F5" w:rsidRPr="00B06A39" w:rsidRDefault="00D747F5" w:rsidP="00D747F5">
            <w:pPr>
              <w:numPr>
                <w:ilvl w:val="0"/>
                <w:numId w:val="29"/>
              </w:numPr>
              <w:spacing w:before="120"/>
              <w:jc w:val="both"/>
              <w:rPr>
                <w:rFonts w:ascii="Calibri" w:hAnsi="Calibri" w:cs="Calibri"/>
                <w:b/>
                <w:bCs/>
                <w:color w:val="001A70" w:themeColor="accent1"/>
                <w:szCs w:val="20"/>
                <w:lang w:val="en-GB"/>
              </w:rPr>
            </w:pPr>
            <w:r w:rsidRPr="00B06A39">
              <w:rPr>
                <w:rFonts w:ascii="Calibri" w:hAnsi="Calibri" w:cs="Calibri"/>
                <w:b/>
                <w:bCs/>
                <w:color w:val="001A70" w:themeColor="accent1"/>
                <w:szCs w:val="20"/>
                <w:lang w:val="en-GB"/>
              </w:rPr>
              <w:t>BAEST</w:t>
            </w:r>
          </w:p>
          <w:p w14:paraId="3A2DE872" w14:textId="77777777" w:rsidR="00D747F5" w:rsidRPr="00B06A39" w:rsidRDefault="00D747F5" w:rsidP="00D747F5">
            <w:pPr>
              <w:numPr>
                <w:ilvl w:val="0"/>
                <w:numId w:val="29"/>
              </w:numPr>
              <w:spacing w:before="120"/>
              <w:jc w:val="both"/>
              <w:rPr>
                <w:rFonts w:ascii="Calibri" w:hAnsi="Calibri" w:cs="Calibri"/>
                <w:b/>
                <w:bCs/>
                <w:color w:val="001A70" w:themeColor="accent1"/>
                <w:szCs w:val="20"/>
                <w:lang w:val="en-GB"/>
              </w:rPr>
            </w:pPr>
            <w:r w:rsidRPr="00B06A39">
              <w:rPr>
                <w:rFonts w:ascii="Calibri" w:hAnsi="Calibri" w:cs="Calibri"/>
                <w:b/>
                <w:bCs/>
                <w:color w:val="001A70" w:themeColor="accent1"/>
                <w:szCs w:val="20"/>
                <w:lang w:val="en-GB"/>
              </w:rPr>
              <w:t>CAPPA COOLING</w:t>
            </w:r>
          </w:p>
          <w:p w14:paraId="0E3B28DF" w14:textId="77777777" w:rsidR="00D747F5" w:rsidRPr="00B06A39" w:rsidRDefault="00D747F5" w:rsidP="00D747F5">
            <w:pPr>
              <w:numPr>
                <w:ilvl w:val="0"/>
                <w:numId w:val="29"/>
              </w:numPr>
              <w:spacing w:before="120"/>
              <w:jc w:val="both"/>
              <w:rPr>
                <w:rFonts w:ascii="Calibri" w:hAnsi="Calibri" w:cs="Calibri"/>
                <w:b/>
                <w:bCs/>
                <w:color w:val="001A70" w:themeColor="accent1"/>
                <w:szCs w:val="20"/>
                <w:lang w:val="en-GB"/>
              </w:rPr>
            </w:pPr>
            <w:r w:rsidRPr="00B06A39">
              <w:rPr>
                <w:rFonts w:ascii="Calibri" w:hAnsi="Calibri" w:cs="Calibri"/>
                <w:b/>
                <w:bCs/>
                <w:color w:val="001A70" w:themeColor="accent1"/>
                <w:szCs w:val="20"/>
                <w:lang w:val="en-GB"/>
              </w:rPr>
              <w:t>CHEMCOMEX</w:t>
            </w:r>
          </w:p>
          <w:p w14:paraId="0E9BA31E" w14:textId="77777777" w:rsidR="00D747F5" w:rsidRPr="00B06A39" w:rsidRDefault="00D747F5" w:rsidP="00D747F5">
            <w:pPr>
              <w:numPr>
                <w:ilvl w:val="0"/>
                <w:numId w:val="29"/>
              </w:numPr>
              <w:spacing w:before="120"/>
              <w:jc w:val="both"/>
              <w:rPr>
                <w:rFonts w:ascii="Calibri" w:hAnsi="Calibri" w:cs="Calibri"/>
                <w:b/>
                <w:bCs/>
                <w:color w:val="001A70" w:themeColor="accent1"/>
                <w:szCs w:val="20"/>
                <w:lang w:val="en-GB"/>
              </w:rPr>
            </w:pPr>
            <w:proofErr w:type="spellStart"/>
            <w:r w:rsidRPr="00B06A39">
              <w:rPr>
                <w:rFonts w:ascii="Calibri" w:hAnsi="Calibri" w:cs="Calibri"/>
                <w:b/>
                <w:bCs/>
                <w:color w:val="001A70" w:themeColor="accent1"/>
                <w:szCs w:val="20"/>
                <w:lang w:val="en-GB"/>
              </w:rPr>
              <w:t>ELEKTRO</w:t>
            </w:r>
            <w:proofErr w:type="spellEnd"/>
            <w:r w:rsidRPr="00B06A39">
              <w:rPr>
                <w:rFonts w:ascii="Calibri" w:hAnsi="Calibri" w:cs="Calibri"/>
                <w:b/>
                <w:bCs/>
                <w:color w:val="001A70" w:themeColor="accent1"/>
                <w:szCs w:val="20"/>
                <w:lang w:val="en-GB"/>
              </w:rPr>
              <w:t xml:space="preserve"> </w:t>
            </w:r>
            <w:proofErr w:type="spellStart"/>
            <w:r w:rsidRPr="00B06A39">
              <w:rPr>
                <w:rFonts w:ascii="Calibri" w:hAnsi="Calibri" w:cs="Calibri"/>
                <w:b/>
                <w:bCs/>
                <w:color w:val="001A70" w:themeColor="accent1"/>
                <w:szCs w:val="20"/>
                <w:lang w:val="en-GB"/>
              </w:rPr>
              <w:t>Kromeriz</w:t>
            </w:r>
            <w:proofErr w:type="spellEnd"/>
          </w:p>
          <w:p w14:paraId="03CD80E8" w14:textId="77777777" w:rsidR="00D747F5" w:rsidRPr="00B06A39" w:rsidRDefault="00D747F5" w:rsidP="00D747F5">
            <w:pPr>
              <w:numPr>
                <w:ilvl w:val="0"/>
                <w:numId w:val="29"/>
              </w:numPr>
              <w:spacing w:before="120"/>
              <w:jc w:val="both"/>
              <w:rPr>
                <w:rFonts w:ascii="Calibri" w:hAnsi="Calibri" w:cs="Calibri"/>
                <w:b/>
                <w:bCs/>
                <w:color w:val="001A70" w:themeColor="accent1"/>
                <w:szCs w:val="20"/>
                <w:lang w:val="en-GB"/>
              </w:rPr>
            </w:pPr>
            <w:r w:rsidRPr="00B06A39">
              <w:rPr>
                <w:rFonts w:ascii="Calibri" w:hAnsi="Calibri" w:cs="Calibri"/>
                <w:b/>
                <w:bCs/>
                <w:color w:val="001A70" w:themeColor="accent1"/>
                <w:szCs w:val="20"/>
                <w:lang w:val="en-GB"/>
              </w:rPr>
              <w:t>Enersys</w:t>
            </w:r>
          </w:p>
          <w:p w14:paraId="7DD6F0EF" w14:textId="77777777" w:rsidR="00D747F5" w:rsidRPr="00B06A39" w:rsidRDefault="00D747F5" w:rsidP="00D747F5">
            <w:pPr>
              <w:numPr>
                <w:ilvl w:val="0"/>
                <w:numId w:val="29"/>
              </w:numPr>
              <w:spacing w:before="120"/>
              <w:jc w:val="both"/>
              <w:rPr>
                <w:rFonts w:ascii="Calibri" w:hAnsi="Calibri" w:cs="Calibri"/>
                <w:b/>
                <w:bCs/>
                <w:color w:val="001A70" w:themeColor="accent1"/>
                <w:szCs w:val="20"/>
                <w:lang w:val="en-GB"/>
              </w:rPr>
            </w:pPr>
            <w:r w:rsidRPr="00B06A39">
              <w:rPr>
                <w:rFonts w:ascii="Calibri" w:hAnsi="Calibri" w:cs="Calibri"/>
                <w:b/>
                <w:bCs/>
                <w:color w:val="001A70" w:themeColor="accent1"/>
                <w:szCs w:val="20"/>
                <w:lang w:val="en-GB"/>
              </w:rPr>
              <w:t>I&amp;C ENERGO</w:t>
            </w:r>
          </w:p>
          <w:p w14:paraId="39E60AEB" w14:textId="77777777" w:rsidR="00D747F5" w:rsidRPr="00B06A39" w:rsidRDefault="00D747F5" w:rsidP="00D747F5">
            <w:pPr>
              <w:numPr>
                <w:ilvl w:val="0"/>
                <w:numId w:val="29"/>
              </w:numPr>
              <w:spacing w:before="120"/>
              <w:jc w:val="both"/>
              <w:rPr>
                <w:rFonts w:ascii="Calibri" w:hAnsi="Calibri" w:cs="Calibri"/>
                <w:b/>
                <w:bCs/>
                <w:color w:val="001A70" w:themeColor="accent1"/>
                <w:szCs w:val="20"/>
                <w:lang w:val="en-GB"/>
              </w:rPr>
            </w:pPr>
            <w:r w:rsidRPr="00B06A39">
              <w:rPr>
                <w:rFonts w:ascii="Calibri" w:hAnsi="Calibri" w:cs="Calibri"/>
                <w:b/>
                <w:bCs/>
                <w:color w:val="001A70" w:themeColor="accent1"/>
                <w:szCs w:val="20"/>
                <w:lang w:val="en-GB"/>
              </w:rPr>
              <w:t>ISH Pumps</w:t>
            </w:r>
          </w:p>
        </w:tc>
        <w:tc>
          <w:tcPr>
            <w:tcW w:w="3021" w:type="dxa"/>
          </w:tcPr>
          <w:p w14:paraId="493DAA38" w14:textId="77777777" w:rsidR="00D747F5" w:rsidRPr="00B06A39" w:rsidRDefault="00D747F5" w:rsidP="00D747F5">
            <w:pPr>
              <w:numPr>
                <w:ilvl w:val="0"/>
                <w:numId w:val="30"/>
              </w:numPr>
              <w:spacing w:before="120"/>
              <w:jc w:val="both"/>
              <w:rPr>
                <w:rFonts w:ascii="Calibri" w:hAnsi="Calibri" w:cs="Calibri"/>
                <w:b/>
                <w:bCs/>
                <w:color w:val="001A70" w:themeColor="accent1"/>
                <w:szCs w:val="20"/>
                <w:lang w:val="en-GB"/>
              </w:rPr>
            </w:pPr>
            <w:r w:rsidRPr="00B06A39">
              <w:rPr>
                <w:rFonts w:ascii="Calibri" w:hAnsi="Calibri" w:cs="Calibri"/>
                <w:b/>
                <w:bCs/>
                <w:color w:val="001A70" w:themeColor="accent1"/>
                <w:szCs w:val="20"/>
                <w:lang w:val="en-GB"/>
              </w:rPr>
              <w:t>HUTNI MONTAZE</w:t>
            </w:r>
          </w:p>
          <w:p w14:paraId="5DB7FFCF" w14:textId="77777777" w:rsidR="00D747F5" w:rsidRPr="00B06A39" w:rsidRDefault="00D747F5" w:rsidP="00D747F5">
            <w:pPr>
              <w:numPr>
                <w:ilvl w:val="0"/>
                <w:numId w:val="30"/>
              </w:numPr>
              <w:spacing w:before="120"/>
              <w:jc w:val="both"/>
              <w:rPr>
                <w:rFonts w:ascii="Calibri" w:hAnsi="Calibri" w:cs="Calibri"/>
                <w:b/>
                <w:bCs/>
                <w:color w:val="001A70" w:themeColor="accent1"/>
                <w:szCs w:val="20"/>
                <w:lang w:val="en-GB"/>
              </w:rPr>
            </w:pPr>
            <w:r w:rsidRPr="00B06A39">
              <w:rPr>
                <w:rFonts w:ascii="Calibri" w:hAnsi="Calibri" w:cs="Calibri"/>
                <w:b/>
                <w:bCs/>
                <w:color w:val="001A70" w:themeColor="accent1"/>
                <w:szCs w:val="20"/>
                <w:lang w:val="en-GB"/>
              </w:rPr>
              <w:t>KLIKA</w:t>
            </w:r>
          </w:p>
          <w:p w14:paraId="76DD7D64" w14:textId="77777777" w:rsidR="00D747F5" w:rsidRPr="00B06A39" w:rsidRDefault="00D747F5" w:rsidP="00D747F5">
            <w:pPr>
              <w:numPr>
                <w:ilvl w:val="0"/>
                <w:numId w:val="30"/>
              </w:numPr>
              <w:spacing w:before="120"/>
              <w:jc w:val="both"/>
              <w:rPr>
                <w:rFonts w:ascii="Calibri" w:hAnsi="Calibri" w:cs="Calibri"/>
                <w:b/>
                <w:bCs/>
                <w:color w:val="001A70" w:themeColor="accent1"/>
                <w:szCs w:val="20"/>
                <w:lang w:val="en-GB"/>
              </w:rPr>
            </w:pPr>
            <w:r w:rsidRPr="00B06A39">
              <w:rPr>
                <w:rFonts w:ascii="Calibri" w:hAnsi="Calibri" w:cs="Calibri"/>
                <w:b/>
                <w:bCs/>
                <w:color w:val="001A70" w:themeColor="accent1"/>
                <w:szCs w:val="20"/>
                <w:lang w:val="en-GB"/>
              </w:rPr>
              <w:t>LDM</w:t>
            </w:r>
          </w:p>
          <w:p w14:paraId="2A205353" w14:textId="77777777" w:rsidR="00D747F5" w:rsidRPr="00B06A39" w:rsidRDefault="00D747F5" w:rsidP="00D747F5">
            <w:pPr>
              <w:numPr>
                <w:ilvl w:val="0"/>
                <w:numId w:val="30"/>
              </w:numPr>
              <w:spacing w:before="120"/>
              <w:jc w:val="both"/>
              <w:rPr>
                <w:rFonts w:ascii="Calibri" w:hAnsi="Calibri" w:cs="Calibri"/>
                <w:b/>
                <w:bCs/>
                <w:color w:val="001A70" w:themeColor="accent1"/>
                <w:szCs w:val="20"/>
                <w:lang w:val="en-GB"/>
              </w:rPr>
            </w:pPr>
            <w:r w:rsidRPr="00B06A39">
              <w:rPr>
                <w:rFonts w:ascii="Calibri" w:hAnsi="Calibri" w:cs="Calibri"/>
                <w:b/>
                <w:bCs/>
                <w:color w:val="001A70" w:themeColor="accent1"/>
                <w:szCs w:val="20"/>
                <w:lang w:val="en-GB"/>
              </w:rPr>
              <w:t>METROSTAV</w:t>
            </w:r>
          </w:p>
          <w:p w14:paraId="35296381" w14:textId="77777777" w:rsidR="00D747F5" w:rsidRPr="00B06A39" w:rsidRDefault="00D747F5" w:rsidP="00D747F5">
            <w:pPr>
              <w:numPr>
                <w:ilvl w:val="0"/>
                <w:numId w:val="30"/>
              </w:numPr>
              <w:spacing w:before="120"/>
              <w:jc w:val="both"/>
              <w:rPr>
                <w:rFonts w:ascii="Calibri" w:hAnsi="Calibri" w:cs="Calibri"/>
                <w:b/>
                <w:bCs/>
                <w:color w:val="001A70" w:themeColor="accent1"/>
                <w:szCs w:val="20"/>
                <w:lang w:val="en-GB"/>
              </w:rPr>
            </w:pPr>
            <w:r w:rsidRPr="00B06A39">
              <w:rPr>
                <w:rFonts w:ascii="Calibri" w:hAnsi="Calibri" w:cs="Calibri"/>
                <w:b/>
                <w:bCs/>
                <w:color w:val="001A70" w:themeColor="accent1"/>
                <w:szCs w:val="20"/>
                <w:lang w:val="en-GB"/>
              </w:rPr>
              <w:t>MICO</w:t>
            </w:r>
          </w:p>
          <w:p w14:paraId="0FDB293A" w14:textId="77777777" w:rsidR="00D747F5" w:rsidRPr="00B06A39" w:rsidRDefault="00D747F5" w:rsidP="00D747F5">
            <w:pPr>
              <w:numPr>
                <w:ilvl w:val="0"/>
                <w:numId w:val="30"/>
              </w:numPr>
              <w:spacing w:before="120"/>
              <w:jc w:val="both"/>
              <w:rPr>
                <w:rFonts w:ascii="Calibri" w:hAnsi="Calibri" w:cs="Calibri"/>
                <w:b/>
                <w:bCs/>
                <w:color w:val="001A70" w:themeColor="accent1"/>
                <w:szCs w:val="20"/>
                <w:lang w:val="en-GB"/>
              </w:rPr>
            </w:pPr>
            <w:r w:rsidRPr="00B06A39">
              <w:rPr>
                <w:rFonts w:ascii="Calibri" w:hAnsi="Calibri" w:cs="Calibri"/>
                <w:b/>
                <w:bCs/>
                <w:color w:val="001A70" w:themeColor="accent1"/>
                <w:szCs w:val="20"/>
                <w:lang w:val="en-GB"/>
              </w:rPr>
              <w:t>MSA</w:t>
            </w:r>
          </w:p>
          <w:p w14:paraId="65C955FB" w14:textId="77777777" w:rsidR="00D747F5" w:rsidRPr="00B06A39" w:rsidRDefault="00D747F5" w:rsidP="00D747F5">
            <w:pPr>
              <w:numPr>
                <w:ilvl w:val="0"/>
                <w:numId w:val="30"/>
              </w:numPr>
              <w:spacing w:before="120"/>
              <w:jc w:val="both"/>
              <w:rPr>
                <w:rFonts w:ascii="Calibri" w:hAnsi="Calibri" w:cs="Calibri"/>
                <w:b/>
                <w:bCs/>
                <w:color w:val="001A70" w:themeColor="accent1"/>
                <w:szCs w:val="20"/>
                <w:lang w:val="en-GB"/>
              </w:rPr>
            </w:pPr>
            <w:r w:rsidRPr="00B06A39">
              <w:rPr>
                <w:rFonts w:ascii="Calibri" w:hAnsi="Calibri" w:cs="Calibri"/>
                <w:b/>
                <w:bCs/>
                <w:color w:val="001A70" w:themeColor="accent1"/>
                <w:szCs w:val="20"/>
                <w:lang w:val="en-GB"/>
              </w:rPr>
              <w:t>NOPO Engineering</w:t>
            </w:r>
          </w:p>
          <w:p w14:paraId="77F47C0F" w14:textId="77777777" w:rsidR="00D747F5" w:rsidRPr="00B06A39" w:rsidRDefault="00D747F5" w:rsidP="00D747F5">
            <w:pPr>
              <w:numPr>
                <w:ilvl w:val="0"/>
                <w:numId w:val="30"/>
              </w:numPr>
              <w:spacing w:before="120"/>
              <w:jc w:val="both"/>
              <w:rPr>
                <w:rFonts w:ascii="Calibri" w:hAnsi="Calibri" w:cs="Calibri"/>
                <w:b/>
                <w:bCs/>
                <w:color w:val="001A70" w:themeColor="accent1"/>
                <w:szCs w:val="20"/>
                <w:lang w:val="en-GB"/>
              </w:rPr>
            </w:pPr>
            <w:r w:rsidRPr="00B06A39">
              <w:rPr>
                <w:rFonts w:ascii="Calibri" w:hAnsi="Calibri" w:cs="Calibri"/>
                <w:b/>
                <w:bCs/>
                <w:color w:val="001A70" w:themeColor="accent1"/>
                <w:szCs w:val="20"/>
                <w:lang w:val="en-GB"/>
              </w:rPr>
              <w:t>OSC</w:t>
            </w:r>
          </w:p>
          <w:p w14:paraId="794851A5" w14:textId="77777777" w:rsidR="00D747F5" w:rsidRPr="00B06A39" w:rsidRDefault="00D747F5" w:rsidP="00D747F5">
            <w:pPr>
              <w:numPr>
                <w:ilvl w:val="0"/>
                <w:numId w:val="30"/>
              </w:numPr>
              <w:spacing w:before="120"/>
              <w:jc w:val="both"/>
              <w:rPr>
                <w:rFonts w:ascii="Calibri" w:hAnsi="Calibri" w:cs="Calibri"/>
                <w:b/>
                <w:bCs/>
                <w:color w:val="001A70" w:themeColor="accent1"/>
                <w:szCs w:val="20"/>
                <w:lang w:val="en-GB"/>
              </w:rPr>
            </w:pPr>
            <w:r w:rsidRPr="00B06A39">
              <w:rPr>
                <w:rFonts w:ascii="Calibri" w:hAnsi="Calibri" w:cs="Calibri"/>
                <w:b/>
                <w:bCs/>
                <w:color w:val="001A70" w:themeColor="accent1"/>
                <w:szCs w:val="20"/>
                <w:lang w:val="en-GB"/>
              </w:rPr>
              <w:t>REKO Praha</w:t>
            </w:r>
          </w:p>
        </w:tc>
        <w:tc>
          <w:tcPr>
            <w:tcW w:w="3021" w:type="dxa"/>
          </w:tcPr>
          <w:p w14:paraId="66710D11" w14:textId="77777777" w:rsidR="00D747F5" w:rsidRPr="00B06A39" w:rsidRDefault="00D747F5" w:rsidP="00D747F5">
            <w:pPr>
              <w:numPr>
                <w:ilvl w:val="0"/>
                <w:numId w:val="31"/>
              </w:numPr>
              <w:spacing w:before="120"/>
              <w:jc w:val="both"/>
              <w:rPr>
                <w:rFonts w:ascii="Calibri" w:hAnsi="Calibri" w:cs="Calibri"/>
                <w:b/>
                <w:bCs/>
                <w:color w:val="001A70" w:themeColor="accent1"/>
                <w:szCs w:val="20"/>
                <w:lang w:val="en-GB"/>
              </w:rPr>
            </w:pPr>
            <w:r w:rsidRPr="00B06A39">
              <w:rPr>
                <w:rFonts w:ascii="Calibri" w:hAnsi="Calibri" w:cs="Calibri"/>
                <w:b/>
                <w:bCs/>
                <w:color w:val="001A70" w:themeColor="accent1"/>
                <w:szCs w:val="20"/>
                <w:lang w:val="en-GB"/>
              </w:rPr>
              <w:t>SIGMA</w:t>
            </w:r>
          </w:p>
          <w:p w14:paraId="1A0F3532" w14:textId="77777777" w:rsidR="00D747F5" w:rsidRPr="00B06A39" w:rsidRDefault="00D747F5" w:rsidP="00D747F5">
            <w:pPr>
              <w:numPr>
                <w:ilvl w:val="0"/>
                <w:numId w:val="31"/>
              </w:numPr>
              <w:spacing w:before="120"/>
              <w:jc w:val="both"/>
              <w:rPr>
                <w:rFonts w:ascii="Calibri" w:hAnsi="Calibri" w:cs="Calibri"/>
                <w:b/>
                <w:bCs/>
                <w:color w:val="001A70" w:themeColor="accent1"/>
                <w:szCs w:val="20"/>
                <w:lang w:val="en-GB"/>
              </w:rPr>
            </w:pPr>
            <w:r w:rsidRPr="00B06A39">
              <w:rPr>
                <w:rFonts w:ascii="Calibri" w:hAnsi="Calibri" w:cs="Calibri"/>
                <w:b/>
                <w:bCs/>
                <w:color w:val="001A70" w:themeColor="accent1"/>
                <w:szCs w:val="20"/>
                <w:lang w:val="en-GB"/>
              </w:rPr>
              <w:t>SKODA JS</w:t>
            </w:r>
          </w:p>
          <w:p w14:paraId="547887D8" w14:textId="77777777" w:rsidR="00D747F5" w:rsidRPr="00B06A39" w:rsidRDefault="00D747F5" w:rsidP="00D747F5">
            <w:pPr>
              <w:numPr>
                <w:ilvl w:val="0"/>
                <w:numId w:val="31"/>
              </w:numPr>
              <w:spacing w:before="120"/>
              <w:jc w:val="both"/>
              <w:rPr>
                <w:rFonts w:ascii="Calibri" w:hAnsi="Calibri" w:cs="Calibri"/>
                <w:b/>
                <w:bCs/>
                <w:color w:val="001A70" w:themeColor="accent1"/>
                <w:szCs w:val="20"/>
                <w:lang w:val="en-GB"/>
              </w:rPr>
            </w:pPr>
            <w:r w:rsidRPr="00B06A39">
              <w:rPr>
                <w:rFonts w:ascii="Calibri" w:hAnsi="Calibri" w:cs="Calibri"/>
                <w:b/>
                <w:bCs/>
                <w:color w:val="001A70" w:themeColor="accent1"/>
                <w:szCs w:val="20"/>
                <w:lang w:val="en-GB"/>
              </w:rPr>
              <w:t>UJV</w:t>
            </w:r>
          </w:p>
          <w:p w14:paraId="2F004AA7" w14:textId="77777777" w:rsidR="00D747F5" w:rsidRPr="00B06A39" w:rsidRDefault="00D747F5" w:rsidP="00D747F5">
            <w:pPr>
              <w:numPr>
                <w:ilvl w:val="0"/>
                <w:numId w:val="31"/>
              </w:numPr>
              <w:spacing w:before="120"/>
              <w:jc w:val="both"/>
              <w:rPr>
                <w:rFonts w:ascii="Calibri" w:hAnsi="Calibri" w:cs="Calibri"/>
                <w:b/>
                <w:bCs/>
                <w:color w:val="001A70" w:themeColor="accent1"/>
                <w:szCs w:val="20"/>
                <w:lang w:val="en-GB"/>
              </w:rPr>
            </w:pPr>
            <w:r w:rsidRPr="00B06A39">
              <w:rPr>
                <w:rFonts w:ascii="Calibri" w:hAnsi="Calibri" w:cs="Calibri"/>
                <w:b/>
                <w:bCs/>
                <w:color w:val="001A70" w:themeColor="accent1"/>
                <w:szCs w:val="20"/>
                <w:lang w:val="en-GB"/>
              </w:rPr>
              <w:t>VITKOVICE ES</w:t>
            </w:r>
          </w:p>
          <w:p w14:paraId="393CB2B3" w14:textId="77777777" w:rsidR="00D747F5" w:rsidRPr="00B06A39" w:rsidRDefault="00D747F5" w:rsidP="00D747F5">
            <w:pPr>
              <w:numPr>
                <w:ilvl w:val="0"/>
                <w:numId w:val="31"/>
              </w:numPr>
              <w:spacing w:before="120"/>
              <w:jc w:val="both"/>
              <w:rPr>
                <w:rFonts w:ascii="Calibri" w:hAnsi="Calibri" w:cs="Calibri"/>
                <w:b/>
                <w:bCs/>
                <w:color w:val="001A70" w:themeColor="accent1"/>
                <w:szCs w:val="20"/>
                <w:lang w:val="en-GB"/>
              </w:rPr>
            </w:pPr>
            <w:r w:rsidRPr="00B06A39">
              <w:rPr>
                <w:rFonts w:ascii="Calibri" w:hAnsi="Calibri" w:cs="Calibri"/>
                <w:b/>
                <w:bCs/>
                <w:color w:val="001A70" w:themeColor="accent1"/>
                <w:szCs w:val="20"/>
                <w:lang w:val="en-GB"/>
              </w:rPr>
              <w:t>VF NUCLEAR</w:t>
            </w:r>
          </w:p>
          <w:p w14:paraId="68A0422F" w14:textId="77777777" w:rsidR="00D747F5" w:rsidRPr="00B06A39" w:rsidRDefault="00D747F5" w:rsidP="00D747F5">
            <w:pPr>
              <w:numPr>
                <w:ilvl w:val="0"/>
                <w:numId w:val="31"/>
              </w:numPr>
              <w:spacing w:before="120"/>
              <w:jc w:val="both"/>
              <w:rPr>
                <w:rFonts w:ascii="Calibri" w:hAnsi="Calibri" w:cs="Calibri"/>
                <w:b/>
                <w:bCs/>
                <w:color w:val="001A70" w:themeColor="accent1"/>
                <w:szCs w:val="20"/>
                <w:lang w:val="en-GB"/>
              </w:rPr>
            </w:pPr>
            <w:r w:rsidRPr="00B06A39">
              <w:rPr>
                <w:rFonts w:ascii="Calibri" w:hAnsi="Calibri" w:cs="Calibri"/>
                <w:b/>
                <w:bCs/>
                <w:color w:val="001A70" w:themeColor="accent1"/>
                <w:szCs w:val="20"/>
                <w:lang w:val="en-GB"/>
              </w:rPr>
              <w:t>ZAT</w:t>
            </w:r>
          </w:p>
          <w:p w14:paraId="6717F803" w14:textId="77777777" w:rsidR="00D747F5" w:rsidRPr="00B06A39" w:rsidRDefault="00D747F5" w:rsidP="00D747F5">
            <w:pPr>
              <w:numPr>
                <w:ilvl w:val="0"/>
                <w:numId w:val="29"/>
              </w:numPr>
              <w:spacing w:before="120"/>
              <w:jc w:val="both"/>
              <w:rPr>
                <w:rFonts w:ascii="Calibri" w:hAnsi="Calibri" w:cs="Calibri"/>
                <w:b/>
                <w:bCs/>
                <w:color w:val="001A70" w:themeColor="accent1"/>
                <w:szCs w:val="20"/>
                <w:lang w:val="en-GB"/>
              </w:rPr>
            </w:pPr>
            <w:r w:rsidRPr="00B06A39">
              <w:rPr>
                <w:rFonts w:ascii="Calibri" w:hAnsi="Calibri" w:cs="Calibri"/>
                <w:b/>
                <w:bCs/>
                <w:color w:val="001A70" w:themeColor="accent1"/>
                <w:szCs w:val="20"/>
                <w:lang w:val="en-GB"/>
              </w:rPr>
              <w:t>ZVVZ</w:t>
            </w:r>
          </w:p>
        </w:tc>
      </w:tr>
    </w:tbl>
    <w:p w14:paraId="4FD0210D" w14:textId="77777777" w:rsidR="00D747F5" w:rsidRPr="00C12E07" w:rsidRDefault="00D747F5" w:rsidP="00D747F5">
      <w:pPr>
        <w:pStyle w:val="Titrepage"/>
      </w:pPr>
      <w:r>
        <w:lastRenderedPageBreak/>
        <w:t>The vast majority of the value of the Czech nuclear programme will be directly reinvested into local Czech industry and overall economy.</w:t>
      </w:r>
    </w:p>
    <w:p w14:paraId="7E90DB3E" w14:textId="77777777" w:rsidR="00D747F5" w:rsidRPr="00D747F5" w:rsidRDefault="00D747F5" w:rsidP="00D747F5">
      <w:pPr>
        <w:pStyle w:val="Titrepage"/>
        <w:jc w:val="both"/>
        <w:rPr>
          <w:rFonts w:ascii="Calibri" w:eastAsiaTheme="minorHAnsi" w:hAnsi="Calibri" w:cs="Calibri"/>
          <w:color w:val="001A70" w:themeColor="accent1"/>
          <w:sz w:val="20"/>
          <w:szCs w:val="22"/>
        </w:rPr>
      </w:pPr>
      <w:r w:rsidRPr="00D747F5">
        <w:rPr>
          <w:rFonts w:ascii="Calibri" w:eastAsiaTheme="minorHAnsi" w:hAnsi="Calibri" w:cs="Calibri"/>
          <w:b w:val="0"/>
          <w:bCs w:val="0"/>
          <w:color w:val="001A70" w:themeColor="accent1"/>
          <w:sz w:val="20"/>
          <w:szCs w:val="22"/>
        </w:rPr>
        <w:t xml:space="preserve">The planned construction of new nuclear reactors in the Czech Republic is not only a matter of energy self-sufficiency and meeting climate goals, but also an opportunity to </w:t>
      </w:r>
      <w:r w:rsidRPr="00D747F5">
        <w:rPr>
          <w:rFonts w:ascii="Calibri" w:eastAsiaTheme="minorHAnsi" w:hAnsi="Calibri" w:cs="Calibri"/>
          <w:color w:val="001A70" w:themeColor="accent1"/>
          <w:sz w:val="20"/>
          <w:szCs w:val="22"/>
        </w:rPr>
        <w:t>create significant economic value within the national economy</w:t>
      </w:r>
      <w:r w:rsidRPr="00D747F5">
        <w:rPr>
          <w:rFonts w:ascii="Calibri" w:eastAsiaTheme="minorHAnsi" w:hAnsi="Calibri" w:cs="Calibri"/>
          <w:b w:val="0"/>
          <w:bCs w:val="0"/>
          <w:color w:val="001A70" w:themeColor="accent1"/>
          <w:sz w:val="20"/>
          <w:szCs w:val="22"/>
        </w:rPr>
        <w:t xml:space="preserve">. The issue of macroeconomic and microeconomic effects was addressed in the study </w:t>
      </w:r>
      <w:r w:rsidRPr="00D747F5">
        <w:rPr>
          <w:rFonts w:ascii="Calibri" w:eastAsiaTheme="minorHAnsi" w:hAnsi="Calibri" w:cs="Calibri"/>
          <w:color w:val="001A70" w:themeColor="accent1"/>
          <w:sz w:val="20"/>
          <w:szCs w:val="22"/>
        </w:rPr>
        <w:t>"New Energy for the National Economy and Local Development", prepared by the Centre for Economic and Market Analysis (CETA) with the collaboration of EDF.</w:t>
      </w:r>
    </w:p>
    <w:p w14:paraId="1637CC77" w14:textId="77777777" w:rsidR="00D747F5" w:rsidRPr="00D747F5" w:rsidRDefault="00D747F5" w:rsidP="00D747F5">
      <w:pPr>
        <w:spacing w:before="60" w:after="240" w:line="240" w:lineRule="auto"/>
        <w:jc w:val="both"/>
        <w:rPr>
          <w:rFonts w:ascii="Calibri" w:hAnsi="Calibri" w:cs="Calibri"/>
          <w:color w:val="001A70" w:themeColor="accent1"/>
          <w:szCs w:val="20"/>
          <w:lang w:val="en-GB"/>
        </w:rPr>
      </w:pPr>
      <w:r w:rsidRPr="00D747F5">
        <w:rPr>
          <w:rFonts w:ascii="Calibri" w:hAnsi="Calibri" w:cs="Calibri"/>
          <w:color w:val="001A70" w:themeColor="accent1"/>
          <w:szCs w:val="20"/>
          <w:lang w:val="en-GB"/>
        </w:rPr>
        <w:t>The impact on the national economy will mainly affect the number of new nuclear units to be built. Relative economic and social effects depend on key factors, in particular:</w:t>
      </w:r>
    </w:p>
    <w:p w14:paraId="75ABBD48" w14:textId="77777777" w:rsidR="00D747F5" w:rsidRPr="00D747F5" w:rsidRDefault="00D747F5" w:rsidP="00D747F5">
      <w:pPr>
        <w:pStyle w:val="Paragraphedeliste"/>
        <w:numPr>
          <w:ilvl w:val="0"/>
          <w:numId w:val="33"/>
        </w:numPr>
        <w:spacing w:before="60" w:after="240" w:line="240" w:lineRule="auto"/>
        <w:jc w:val="both"/>
        <w:rPr>
          <w:rFonts w:ascii="Calibri" w:hAnsi="Calibri" w:cs="Calibri"/>
          <w:color w:val="001A70" w:themeColor="accent1"/>
          <w:sz w:val="20"/>
          <w:szCs w:val="20"/>
          <w:lang w:val="en-GB"/>
        </w:rPr>
      </w:pPr>
      <w:r w:rsidRPr="00D747F5">
        <w:rPr>
          <w:rFonts w:ascii="Calibri" w:hAnsi="Calibri" w:cs="Calibri"/>
          <w:color w:val="001A70" w:themeColor="accent1"/>
          <w:sz w:val="20"/>
          <w:szCs w:val="20"/>
          <w:lang w:val="en-GB"/>
        </w:rPr>
        <w:t>degree of involvement of domestic companies in the project (localisation)</w:t>
      </w:r>
    </w:p>
    <w:p w14:paraId="58895B01" w14:textId="77777777" w:rsidR="00D747F5" w:rsidRPr="00D747F5" w:rsidRDefault="00D747F5" w:rsidP="00D747F5">
      <w:pPr>
        <w:pStyle w:val="Paragraphedeliste"/>
        <w:numPr>
          <w:ilvl w:val="0"/>
          <w:numId w:val="33"/>
        </w:numPr>
        <w:spacing w:before="60" w:after="240" w:line="240" w:lineRule="auto"/>
        <w:jc w:val="both"/>
        <w:rPr>
          <w:rFonts w:ascii="Calibri" w:hAnsi="Calibri" w:cs="Calibri"/>
          <w:color w:val="001A70" w:themeColor="accent1"/>
          <w:sz w:val="20"/>
          <w:szCs w:val="20"/>
          <w:lang w:val="en-GB"/>
        </w:rPr>
      </w:pPr>
      <w:r w:rsidRPr="00D747F5">
        <w:rPr>
          <w:rFonts w:ascii="Calibri" w:hAnsi="Calibri" w:cs="Calibri"/>
          <w:color w:val="001A70" w:themeColor="accent1"/>
          <w:sz w:val="20"/>
          <w:szCs w:val="20"/>
          <w:lang w:val="en-GB"/>
        </w:rPr>
        <w:t>downstream opportunities for Czech companies to supply nuclear projects abroad (export)</w:t>
      </w:r>
    </w:p>
    <w:p w14:paraId="28752C47" w14:textId="77777777" w:rsidR="00D747F5" w:rsidRPr="00D747F5" w:rsidRDefault="00D747F5" w:rsidP="00D747F5">
      <w:pPr>
        <w:pStyle w:val="Paragraphedeliste"/>
        <w:numPr>
          <w:ilvl w:val="0"/>
          <w:numId w:val="33"/>
        </w:numPr>
        <w:spacing w:before="60" w:after="240" w:line="240" w:lineRule="auto"/>
        <w:jc w:val="both"/>
        <w:rPr>
          <w:rFonts w:ascii="Calibri" w:hAnsi="Calibri" w:cs="Calibri"/>
          <w:color w:val="001A70" w:themeColor="accent1"/>
          <w:sz w:val="20"/>
          <w:szCs w:val="20"/>
          <w:lang w:val="en-GB"/>
        </w:rPr>
      </w:pPr>
      <w:r w:rsidRPr="00D747F5">
        <w:rPr>
          <w:rFonts w:ascii="Calibri" w:hAnsi="Calibri" w:cs="Calibri"/>
          <w:color w:val="001A70" w:themeColor="accent1"/>
          <w:sz w:val="20"/>
          <w:szCs w:val="20"/>
          <w:lang w:val="en-GB"/>
        </w:rPr>
        <w:t>the rate of use of domestic human resources (training and retraining)</w:t>
      </w:r>
    </w:p>
    <w:p w14:paraId="32305D63" w14:textId="77777777" w:rsidR="00D747F5" w:rsidRPr="00D747F5" w:rsidRDefault="00D747F5" w:rsidP="00D747F5">
      <w:pPr>
        <w:pStyle w:val="Paragraphedeliste"/>
        <w:numPr>
          <w:ilvl w:val="0"/>
          <w:numId w:val="33"/>
        </w:numPr>
        <w:spacing w:before="60" w:after="240" w:line="240" w:lineRule="auto"/>
        <w:jc w:val="both"/>
        <w:rPr>
          <w:rFonts w:ascii="Calibri" w:hAnsi="Calibri" w:cs="Calibri"/>
          <w:color w:val="001A70" w:themeColor="accent1"/>
          <w:sz w:val="20"/>
          <w:szCs w:val="20"/>
          <w:lang w:val="en-GB"/>
        </w:rPr>
      </w:pPr>
      <w:r w:rsidRPr="00D747F5">
        <w:rPr>
          <w:rFonts w:ascii="Calibri" w:hAnsi="Calibri" w:cs="Calibri"/>
          <w:color w:val="001A70" w:themeColor="accent1"/>
          <w:sz w:val="20"/>
          <w:szCs w:val="20"/>
          <w:lang w:val="en-GB"/>
        </w:rPr>
        <w:t>setting up the project to contribute to the creation of lasting value at the place of implementation (region)</w:t>
      </w:r>
    </w:p>
    <w:p w14:paraId="047B5E49" w14:textId="77777777" w:rsidR="00D747F5" w:rsidRPr="00D747F5" w:rsidRDefault="00D747F5" w:rsidP="00D747F5">
      <w:pPr>
        <w:spacing w:before="60" w:after="240" w:line="240" w:lineRule="auto"/>
        <w:jc w:val="both"/>
        <w:rPr>
          <w:rFonts w:ascii="Calibri" w:hAnsi="Calibri" w:cs="Calibri"/>
          <w:color w:val="001A70" w:themeColor="accent1"/>
          <w:szCs w:val="20"/>
          <w:lang w:val="en-GB"/>
        </w:rPr>
      </w:pPr>
      <w:r w:rsidRPr="00D747F5">
        <w:rPr>
          <w:rFonts w:ascii="Calibri" w:hAnsi="Calibri" w:cs="Calibri"/>
          <w:color w:val="001A70" w:themeColor="accent1"/>
          <w:szCs w:val="20"/>
          <w:lang w:val="en-GB"/>
        </w:rPr>
        <w:t xml:space="preserve">The study concludes that the construction of new nuclear power plant units will have </w:t>
      </w:r>
      <w:r w:rsidRPr="00D747F5">
        <w:rPr>
          <w:rFonts w:ascii="Calibri" w:hAnsi="Calibri" w:cs="Calibri"/>
          <w:b/>
          <w:bCs/>
          <w:color w:val="001A70" w:themeColor="accent1"/>
          <w:szCs w:val="20"/>
          <w:lang w:val="en-GB"/>
        </w:rPr>
        <w:t>many times higher economic benefits for the region and the Czech economy than the investment itself.</w:t>
      </w:r>
      <w:r w:rsidRPr="00D747F5">
        <w:rPr>
          <w:rFonts w:ascii="Calibri" w:hAnsi="Calibri" w:cs="Calibri"/>
          <w:color w:val="001A70" w:themeColor="accent1"/>
          <w:szCs w:val="20"/>
          <w:lang w:val="en-GB"/>
        </w:rPr>
        <w:t xml:space="preserve"> </w:t>
      </w:r>
    </w:p>
    <w:p w14:paraId="0BDCB64B" w14:textId="77777777" w:rsidR="00D747F5" w:rsidRPr="00D747F5" w:rsidRDefault="00D747F5" w:rsidP="00D747F5">
      <w:pPr>
        <w:spacing w:before="60" w:after="240" w:line="240" w:lineRule="auto"/>
        <w:jc w:val="both"/>
        <w:rPr>
          <w:rFonts w:ascii="Calibri" w:hAnsi="Calibri" w:cs="Calibri"/>
          <w:color w:val="001A70" w:themeColor="accent1"/>
          <w:szCs w:val="20"/>
          <w:lang w:val="en-GB"/>
        </w:rPr>
      </w:pPr>
      <w:r w:rsidRPr="00D747F5">
        <w:rPr>
          <w:rFonts w:ascii="Calibri" w:hAnsi="Calibri" w:cs="Calibri"/>
          <w:color w:val="001A70" w:themeColor="accent1"/>
          <w:szCs w:val="20"/>
          <w:lang w:val="en-GB"/>
        </w:rPr>
        <w:t xml:space="preserve">This is especially so if a significant share of the total value of the contract is awarded to Czech industry. In such a case, </w:t>
      </w:r>
      <w:r w:rsidRPr="00D747F5">
        <w:rPr>
          <w:rFonts w:ascii="Calibri" w:hAnsi="Calibri" w:cs="Calibri"/>
          <w:b/>
          <w:bCs/>
          <w:color w:val="001A70" w:themeColor="accent1"/>
          <w:szCs w:val="20"/>
          <w:lang w:val="en-GB"/>
        </w:rPr>
        <w:t>the total value creation multiplier reaches 3.27</w:t>
      </w:r>
      <w:r w:rsidRPr="00D747F5">
        <w:rPr>
          <w:rFonts w:ascii="Calibri" w:hAnsi="Calibri" w:cs="Calibri"/>
          <w:color w:val="001A70" w:themeColor="accent1"/>
          <w:szCs w:val="20"/>
          <w:lang w:val="en-GB"/>
        </w:rPr>
        <w:t xml:space="preserve">, meaning that every CZK 1 invested in the construction of a new nuclear power unit generates a total benefit for the Czech economy of CZK 3.27, through a combination of direct, indirect and induced effects. </w:t>
      </w:r>
    </w:p>
    <w:tbl>
      <w:tblPr>
        <w:tblW w:w="0" w:type="auto"/>
        <w:jc w:val="center"/>
        <w:tblCellMar>
          <w:top w:w="15" w:type="dxa"/>
          <w:left w:w="15" w:type="dxa"/>
          <w:bottom w:w="15" w:type="dxa"/>
          <w:right w:w="15" w:type="dxa"/>
        </w:tblCellMar>
        <w:tblLook w:val="04A0" w:firstRow="1" w:lastRow="0" w:firstColumn="1" w:lastColumn="0" w:noHBand="0" w:noVBand="1"/>
      </w:tblPr>
      <w:tblGrid>
        <w:gridCol w:w="2377"/>
        <w:gridCol w:w="1505"/>
        <w:gridCol w:w="1659"/>
        <w:gridCol w:w="1659"/>
        <w:gridCol w:w="1659"/>
      </w:tblGrid>
      <w:tr w:rsidR="00D747F5" w:rsidRPr="00D747F5" w14:paraId="6BAB8999" w14:textId="77777777">
        <w:trPr>
          <w:trHeight w:val="471"/>
          <w:jc w:val="center"/>
        </w:trPr>
        <w:tc>
          <w:tcPr>
            <w:tcW w:w="0" w:type="auto"/>
            <w:tcBorders>
              <w:top w:val="single" w:sz="8" w:space="0" w:color="FFFFFF"/>
              <w:left w:val="single" w:sz="8" w:space="0" w:color="FFFFFF"/>
              <w:bottom w:val="single" w:sz="24" w:space="0" w:color="FFFFFF"/>
              <w:right w:val="single" w:sz="8" w:space="0" w:color="FFFFFF"/>
            </w:tcBorders>
            <w:shd w:val="clear" w:color="auto" w:fill="0C4095" w:themeFill="accent2" w:themeFillShade="BF"/>
            <w:tcMar>
              <w:top w:w="80" w:type="dxa"/>
              <w:left w:w="140" w:type="dxa"/>
              <w:bottom w:w="80" w:type="dxa"/>
              <w:right w:w="140" w:type="dxa"/>
            </w:tcMar>
            <w:vAlign w:val="center"/>
            <w:hideMark/>
          </w:tcPr>
          <w:p w14:paraId="2D4A0F53" w14:textId="77777777" w:rsidR="00D747F5" w:rsidRPr="00D747F5" w:rsidRDefault="00D747F5">
            <w:pPr>
              <w:spacing w:line="240" w:lineRule="auto"/>
              <w:jc w:val="both"/>
              <w:rPr>
                <w:rFonts w:ascii="Calibri" w:eastAsia="Times New Roman" w:hAnsi="Calibri" w:cs="Calibri"/>
                <w:color w:val="FFFFFF" w:themeColor="background1"/>
                <w:szCs w:val="20"/>
                <w:lang w:eastAsia="cs-CZ"/>
              </w:rPr>
            </w:pPr>
          </w:p>
        </w:tc>
        <w:tc>
          <w:tcPr>
            <w:tcW w:w="0" w:type="auto"/>
            <w:tcBorders>
              <w:top w:val="single" w:sz="8" w:space="0" w:color="FFFFFF"/>
              <w:left w:val="single" w:sz="8" w:space="0" w:color="FFFFFF"/>
              <w:bottom w:val="single" w:sz="24" w:space="0" w:color="FFFFFF"/>
              <w:right w:val="single" w:sz="8" w:space="0" w:color="FFFFFF"/>
            </w:tcBorders>
            <w:shd w:val="clear" w:color="auto" w:fill="0C4095" w:themeFill="accent2" w:themeFillShade="BF"/>
            <w:tcMar>
              <w:top w:w="80" w:type="dxa"/>
              <w:left w:w="140" w:type="dxa"/>
              <w:bottom w:w="80" w:type="dxa"/>
              <w:right w:w="140" w:type="dxa"/>
            </w:tcMar>
            <w:vAlign w:val="center"/>
            <w:hideMark/>
          </w:tcPr>
          <w:p w14:paraId="0D3A9FD9" w14:textId="77777777" w:rsidR="00D747F5" w:rsidRPr="00D747F5" w:rsidRDefault="00D747F5">
            <w:pPr>
              <w:spacing w:line="240" w:lineRule="auto"/>
              <w:jc w:val="both"/>
              <w:rPr>
                <w:rFonts w:ascii="Calibri" w:eastAsia="Times New Roman" w:hAnsi="Calibri" w:cs="Calibri"/>
                <w:color w:val="FFFFFF" w:themeColor="background1"/>
                <w:szCs w:val="20"/>
                <w:lang w:eastAsia="cs-CZ"/>
              </w:rPr>
            </w:pPr>
            <w:r w:rsidRPr="00D747F5">
              <w:rPr>
                <w:rFonts w:ascii="Calibri" w:eastAsia="Times New Roman" w:hAnsi="Calibri" w:cs="Calibri"/>
                <w:b/>
                <w:bCs/>
                <w:color w:val="FFFFFF" w:themeColor="background1"/>
                <w:szCs w:val="20"/>
                <w:lang w:eastAsia="cs-CZ"/>
              </w:rPr>
              <w:t>1 unit</w:t>
            </w:r>
          </w:p>
        </w:tc>
        <w:tc>
          <w:tcPr>
            <w:tcW w:w="0" w:type="auto"/>
            <w:tcBorders>
              <w:top w:val="single" w:sz="8" w:space="0" w:color="FFFFFF"/>
              <w:left w:val="single" w:sz="8" w:space="0" w:color="FFFFFF"/>
              <w:bottom w:val="single" w:sz="24" w:space="0" w:color="FFFFFF"/>
              <w:right w:val="single" w:sz="8" w:space="0" w:color="FFFFFF"/>
            </w:tcBorders>
            <w:shd w:val="clear" w:color="auto" w:fill="0C4095" w:themeFill="accent2" w:themeFillShade="BF"/>
            <w:tcMar>
              <w:top w:w="80" w:type="dxa"/>
              <w:left w:w="140" w:type="dxa"/>
              <w:bottom w:w="80" w:type="dxa"/>
              <w:right w:w="140" w:type="dxa"/>
            </w:tcMar>
            <w:vAlign w:val="center"/>
            <w:hideMark/>
          </w:tcPr>
          <w:p w14:paraId="1D130041" w14:textId="77777777" w:rsidR="00D747F5" w:rsidRPr="00D747F5" w:rsidRDefault="00D747F5">
            <w:pPr>
              <w:spacing w:line="240" w:lineRule="auto"/>
              <w:jc w:val="both"/>
              <w:rPr>
                <w:rFonts w:ascii="Calibri" w:eastAsia="Times New Roman" w:hAnsi="Calibri" w:cs="Calibri"/>
                <w:color w:val="FFFFFF" w:themeColor="background1"/>
                <w:szCs w:val="20"/>
                <w:lang w:eastAsia="cs-CZ"/>
              </w:rPr>
            </w:pPr>
            <w:r w:rsidRPr="00D747F5">
              <w:rPr>
                <w:rFonts w:ascii="Calibri" w:eastAsia="Times New Roman" w:hAnsi="Calibri" w:cs="Calibri"/>
                <w:b/>
                <w:bCs/>
                <w:color w:val="FFFFFF" w:themeColor="background1"/>
                <w:szCs w:val="20"/>
                <w:lang w:eastAsia="cs-CZ"/>
              </w:rPr>
              <w:t>2 units</w:t>
            </w:r>
          </w:p>
        </w:tc>
        <w:tc>
          <w:tcPr>
            <w:tcW w:w="0" w:type="auto"/>
            <w:tcBorders>
              <w:top w:val="single" w:sz="8" w:space="0" w:color="FFFFFF"/>
              <w:left w:val="single" w:sz="8" w:space="0" w:color="FFFFFF"/>
              <w:bottom w:val="single" w:sz="24" w:space="0" w:color="FFFFFF"/>
              <w:right w:val="single" w:sz="8" w:space="0" w:color="FFFFFF"/>
            </w:tcBorders>
            <w:shd w:val="clear" w:color="auto" w:fill="0C4095" w:themeFill="accent2" w:themeFillShade="BF"/>
            <w:tcMar>
              <w:top w:w="80" w:type="dxa"/>
              <w:left w:w="140" w:type="dxa"/>
              <w:bottom w:w="80" w:type="dxa"/>
              <w:right w:w="140" w:type="dxa"/>
            </w:tcMar>
            <w:vAlign w:val="center"/>
            <w:hideMark/>
          </w:tcPr>
          <w:p w14:paraId="7CFD8ED5" w14:textId="77777777" w:rsidR="00D747F5" w:rsidRPr="00D747F5" w:rsidRDefault="00D747F5">
            <w:pPr>
              <w:spacing w:line="240" w:lineRule="auto"/>
              <w:jc w:val="both"/>
              <w:rPr>
                <w:rFonts w:ascii="Calibri" w:eastAsia="Times New Roman" w:hAnsi="Calibri" w:cs="Calibri"/>
                <w:color w:val="FFFFFF" w:themeColor="background1"/>
                <w:szCs w:val="20"/>
                <w:lang w:eastAsia="cs-CZ"/>
              </w:rPr>
            </w:pPr>
            <w:r w:rsidRPr="00D747F5">
              <w:rPr>
                <w:rFonts w:ascii="Calibri" w:eastAsia="Times New Roman" w:hAnsi="Calibri" w:cs="Calibri"/>
                <w:b/>
                <w:bCs/>
                <w:color w:val="FFFFFF" w:themeColor="background1"/>
                <w:szCs w:val="20"/>
                <w:lang w:eastAsia="cs-CZ"/>
              </w:rPr>
              <w:t>3 units</w:t>
            </w:r>
          </w:p>
        </w:tc>
        <w:tc>
          <w:tcPr>
            <w:tcW w:w="0" w:type="auto"/>
            <w:tcBorders>
              <w:top w:val="single" w:sz="8" w:space="0" w:color="FFFFFF"/>
              <w:left w:val="single" w:sz="8" w:space="0" w:color="FFFFFF"/>
              <w:bottom w:val="single" w:sz="24" w:space="0" w:color="FFFFFF"/>
              <w:right w:val="single" w:sz="8" w:space="0" w:color="FFFFFF"/>
            </w:tcBorders>
            <w:shd w:val="clear" w:color="auto" w:fill="0C4095" w:themeFill="accent2" w:themeFillShade="BF"/>
            <w:tcMar>
              <w:top w:w="80" w:type="dxa"/>
              <w:left w:w="140" w:type="dxa"/>
              <w:bottom w:w="80" w:type="dxa"/>
              <w:right w:w="140" w:type="dxa"/>
            </w:tcMar>
            <w:vAlign w:val="center"/>
            <w:hideMark/>
          </w:tcPr>
          <w:p w14:paraId="265D7DB0" w14:textId="77777777" w:rsidR="00D747F5" w:rsidRPr="00D747F5" w:rsidRDefault="00D747F5">
            <w:pPr>
              <w:spacing w:line="240" w:lineRule="auto"/>
              <w:jc w:val="both"/>
              <w:rPr>
                <w:rFonts w:ascii="Calibri" w:eastAsia="Times New Roman" w:hAnsi="Calibri" w:cs="Calibri"/>
                <w:color w:val="FFFFFF" w:themeColor="background1"/>
                <w:szCs w:val="20"/>
                <w:lang w:eastAsia="cs-CZ"/>
              </w:rPr>
            </w:pPr>
            <w:r w:rsidRPr="00D747F5">
              <w:rPr>
                <w:rFonts w:ascii="Calibri" w:eastAsia="Times New Roman" w:hAnsi="Calibri" w:cs="Calibri"/>
                <w:b/>
                <w:bCs/>
                <w:color w:val="FFFFFF" w:themeColor="background1"/>
                <w:szCs w:val="20"/>
                <w:lang w:eastAsia="cs-CZ"/>
              </w:rPr>
              <w:t>4 units</w:t>
            </w:r>
          </w:p>
        </w:tc>
      </w:tr>
      <w:tr w:rsidR="00D747F5" w:rsidRPr="00D747F5" w14:paraId="4B401885" w14:textId="77777777">
        <w:trPr>
          <w:trHeight w:val="359"/>
          <w:jc w:val="center"/>
        </w:trPr>
        <w:tc>
          <w:tcPr>
            <w:tcW w:w="0" w:type="auto"/>
            <w:tcBorders>
              <w:top w:val="single" w:sz="24" w:space="0" w:color="FFFFFF"/>
              <w:left w:val="single" w:sz="8" w:space="0" w:color="FFFFFF"/>
              <w:bottom w:val="single" w:sz="24" w:space="0" w:color="FFFFFF"/>
              <w:right w:val="single" w:sz="8" w:space="0" w:color="FFFFFF"/>
            </w:tcBorders>
            <w:shd w:val="clear" w:color="auto" w:fill="CBCBCB"/>
            <w:tcMar>
              <w:top w:w="80" w:type="dxa"/>
              <w:left w:w="140" w:type="dxa"/>
              <w:bottom w:w="80" w:type="dxa"/>
              <w:right w:w="140" w:type="dxa"/>
            </w:tcMar>
            <w:vAlign w:val="center"/>
            <w:hideMark/>
          </w:tcPr>
          <w:p w14:paraId="2ECAA96B" w14:textId="77777777" w:rsidR="00D747F5" w:rsidRPr="00D747F5" w:rsidRDefault="00D747F5">
            <w:pPr>
              <w:spacing w:line="240" w:lineRule="auto"/>
              <w:jc w:val="both"/>
              <w:rPr>
                <w:rFonts w:ascii="Calibri" w:eastAsia="Times New Roman" w:hAnsi="Calibri" w:cs="Calibri"/>
                <w:color w:val="001A70" w:themeColor="accent1"/>
                <w:szCs w:val="20"/>
                <w:lang w:eastAsia="cs-CZ"/>
              </w:rPr>
            </w:pPr>
            <w:r w:rsidRPr="00D747F5">
              <w:rPr>
                <w:rFonts w:ascii="Calibri" w:eastAsia="Times New Roman" w:hAnsi="Calibri" w:cs="Calibri"/>
                <w:b/>
                <w:bCs/>
                <w:color w:val="001A70" w:themeColor="accent1"/>
                <w:szCs w:val="20"/>
                <w:lang w:eastAsia="cs-CZ"/>
              </w:rPr>
              <w:t>Investment (estimate)</w:t>
            </w:r>
          </w:p>
        </w:tc>
        <w:tc>
          <w:tcPr>
            <w:tcW w:w="0" w:type="auto"/>
            <w:tcBorders>
              <w:top w:val="single" w:sz="24" w:space="0" w:color="FFFFFF"/>
              <w:left w:val="single" w:sz="8" w:space="0" w:color="FFFFFF"/>
              <w:bottom w:val="single" w:sz="24" w:space="0" w:color="FFFFFF"/>
              <w:right w:val="single" w:sz="8" w:space="0" w:color="FFFFFF"/>
            </w:tcBorders>
            <w:shd w:val="clear" w:color="auto" w:fill="CBCBCB"/>
            <w:tcMar>
              <w:top w:w="80" w:type="dxa"/>
              <w:left w:w="140" w:type="dxa"/>
              <w:bottom w:w="80" w:type="dxa"/>
              <w:right w:w="140" w:type="dxa"/>
            </w:tcMar>
            <w:vAlign w:val="center"/>
            <w:hideMark/>
          </w:tcPr>
          <w:p w14:paraId="2FD24B02" w14:textId="77777777" w:rsidR="00D747F5" w:rsidRPr="00D747F5" w:rsidRDefault="00D747F5">
            <w:pPr>
              <w:spacing w:line="240" w:lineRule="auto"/>
              <w:jc w:val="both"/>
              <w:rPr>
                <w:rFonts w:ascii="Calibri" w:eastAsia="Times New Roman" w:hAnsi="Calibri" w:cs="Calibri"/>
                <w:color w:val="001A70" w:themeColor="accent1"/>
                <w:szCs w:val="20"/>
                <w:lang w:eastAsia="cs-CZ"/>
              </w:rPr>
            </w:pPr>
            <w:r w:rsidRPr="00D747F5">
              <w:rPr>
                <w:rFonts w:ascii="Calibri" w:eastAsia="Times New Roman" w:hAnsi="Calibri" w:cs="Calibri"/>
                <w:color w:val="001A70" w:themeColor="accent1"/>
                <w:szCs w:val="20"/>
                <w:lang w:eastAsia="cs-CZ"/>
              </w:rPr>
              <w:t>CZK 250 billion</w:t>
            </w:r>
          </w:p>
        </w:tc>
        <w:tc>
          <w:tcPr>
            <w:tcW w:w="0" w:type="auto"/>
            <w:tcBorders>
              <w:top w:val="single" w:sz="24" w:space="0" w:color="FFFFFF"/>
              <w:left w:val="single" w:sz="8" w:space="0" w:color="FFFFFF"/>
              <w:bottom w:val="single" w:sz="24" w:space="0" w:color="FFFFFF"/>
              <w:right w:val="single" w:sz="8" w:space="0" w:color="FFFFFF"/>
            </w:tcBorders>
            <w:shd w:val="clear" w:color="auto" w:fill="CBCBCB"/>
            <w:tcMar>
              <w:top w:w="80" w:type="dxa"/>
              <w:left w:w="140" w:type="dxa"/>
              <w:bottom w:w="80" w:type="dxa"/>
              <w:right w:w="140" w:type="dxa"/>
            </w:tcMar>
            <w:vAlign w:val="center"/>
            <w:hideMark/>
          </w:tcPr>
          <w:p w14:paraId="31945D1A" w14:textId="77777777" w:rsidR="00D747F5" w:rsidRPr="00D747F5" w:rsidRDefault="00D747F5">
            <w:pPr>
              <w:spacing w:line="240" w:lineRule="auto"/>
              <w:jc w:val="both"/>
              <w:rPr>
                <w:rFonts w:ascii="Calibri" w:eastAsia="Times New Roman" w:hAnsi="Calibri" w:cs="Calibri"/>
                <w:color w:val="001A70" w:themeColor="accent1"/>
                <w:szCs w:val="20"/>
                <w:lang w:eastAsia="cs-CZ"/>
              </w:rPr>
            </w:pPr>
            <w:r w:rsidRPr="00D747F5">
              <w:rPr>
                <w:rFonts w:ascii="Calibri" w:eastAsia="Times New Roman" w:hAnsi="Calibri" w:cs="Calibri"/>
                <w:color w:val="001A70" w:themeColor="accent1"/>
                <w:szCs w:val="20"/>
                <w:lang w:eastAsia="cs-CZ"/>
              </w:rPr>
              <w:t>CZK 500 billion</w:t>
            </w:r>
          </w:p>
        </w:tc>
        <w:tc>
          <w:tcPr>
            <w:tcW w:w="0" w:type="auto"/>
            <w:tcBorders>
              <w:top w:val="single" w:sz="24" w:space="0" w:color="FFFFFF"/>
              <w:left w:val="single" w:sz="8" w:space="0" w:color="FFFFFF"/>
              <w:bottom w:val="single" w:sz="24" w:space="0" w:color="FFFFFF"/>
              <w:right w:val="single" w:sz="8" w:space="0" w:color="FFFFFF"/>
            </w:tcBorders>
            <w:shd w:val="clear" w:color="auto" w:fill="CBCBCB"/>
            <w:tcMar>
              <w:top w:w="80" w:type="dxa"/>
              <w:left w:w="140" w:type="dxa"/>
              <w:bottom w:w="80" w:type="dxa"/>
              <w:right w:w="140" w:type="dxa"/>
            </w:tcMar>
            <w:vAlign w:val="center"/>
            <w:hideMark/>
          </w:tcPr>
          <w:p w14:paraId="23C46BF7" w14:textId="77777777" w:rsidR="00D747F5" w:rsidRPr="00D747F5" w:rsidRDefault="00D747F5">
            <w:pPr>
              <w:spacing w:line="240" w:lineRule="auto"/>
              <w:jc w:val="both"/>
              <w:rPr>
                <w:rFonts w:ascii="Calibri" w:eastAsia="Times New Roman" w:hAnsi="Calibri" w:cs="Calibri"/>
                <w:color w:val="001A70" w:themeColor="accent1"/>
                <w:szCs w:val="20"/>
                <w:lang w:eastAsia="cs-CZ"/>
              </w:rPr>
            </w:pPr>
            <w:r w:rsidRPr="00D747F5">
              <w:rPr>
                <w:rFonts w:ascii="Calibri" w:eastAsia="Times New Roman" w:hAnsi="Calibri" w:cs="Calibri"/>
                <w:color w:val="001A70" w:themeColor="accent1"/>
                <w:szCs w:val="20"/>
                <w:lang w:eastAsia="cs-CZ"/>
              </w:rPr>
              <w:t>CZK 750 billion</w:t>
            </w:r>
          </w:p>
        </w:tc>
        <w:tc>
          <w:tcPr>
            <w:tcW w:w="0" w:type="auto"/>
            <w:tcBorders>
              <w:top w:val="single" w:sz="24" w:space="0" w:color="FFFFFF"/>
              <w:left w:val="single" w:sz="8" w:space="0" w:color="FFFFFF"/>
              <w:bottom w:val="single" w:sz="24" w:space="0" w:color="FFFFFF"/>
              <w:right w:val="single" w:sz="8" w:space="0" w:color="FFFFFF"/>
            </w:tcBorders>
            <w:shd w:val="clear" w:color="auto" w:fill="CBCBCB"/>
            <w:tcMar>
              <w:top w:w="80" w:type="dxa"/>
              <w:left w:w="140" w:type="dxa"/>
              <w:bottom w:w="80" w:type="dxa"/>
              <w:right w:w="140" w:type="dxa"/>
            </w:tcMar>
            <w:vAlign w:val="center"/>
            <w:hideMark/>
          </w:tcPr>
          <w:p w14:paraId="416E9B14" w14:textId="77777777" w:rsidR="00D747F5" w:rsidRPr="00D747F5" w:rsidRDefault="00D747F5">
            <w:pPr>
              <w:spacing w:line="240" w:lineRule="auto"/>
              <w:jc w:val="both"/>
              <w:rPr>
                <w:rFonts w:ascii="Calibri" w:eastAsia="Times New Roman" w:hAnsi="Calibri" w:cs="Calibri"/>
                <w:color w:val="001A70" w:themeColor="accent1"/>
                <w:szCs w:val="20"/>
                <w:lang w:eastAsia="cs-CZ"/>
              </w:rPr>
            </w:pPr>
            <w:r w:rsidRPr="00D747F5">
              <w:rPr>
                <w:rFonts w:ascii="Calibri" w:eastAsia="Times New Roman" w:hAnsi="Calibri" w:cs="Calibri"/>
                <w:color w:val="001A70" w:themeColor="accent1"/>
                <w:szCs w:val="20"/>
                <w:lang w:eastAsia="cs-CZ"/>
              </w:rPr>
              <w:t>CZK 1.000 billion</w:t>
            </w:r>
          </w:p>
        </w:tc>
      </w:tr>
      <w:tr w:rsidR="00D747F5" w:rsidRPr="00D747F5" w14:paraId="022412F6" w14:textId="77777777">
        <w:trPr>
          <w:trHeight w:val="359"/>
          <w:jc w:val="center"/>
        </w:trPr>
        <w:tc>
          <w:tcPr>
            <w:tcW w:w="0" w:type="auto"/>
            <w:tcBorders>
              <w:top w:val="single" w:sz="24" w:space="0" w:color="FFFFFF"/>
              <w:left w:val="single" w:sz="8" w:space="0" w:color="FFFFFF"/>
              <w:bottom w:val="single" w:sz="24" w:space="0" w:color="FFFFFF"/>
              <w:right w:val="single" w:sz="8" w:space="0" w:color="FFFFFF"/>
            </w:tcBorders>
            <w:shd w:val="clear" w:color="auto" w:fill="F2F2F2" w:themeFill="background1" w:themeFillShade="F2"/>
            <w:tcMar>
              <w:top w:w="80" w:type="dxa"/>
              <w:left w:w="140" w:type="dxa"/>
              <w:bottom w:w="80" w:type="dxa"/>
              <w:right w:w="140" w:type="dxa"/>
            </w:tcMar>
            <w:vAlign w:val="center"/>
            <w:hideMark/>
          </w:tcPr>
          <w:p w14:paraId="74F98061" w14:textId="77777777" w:rsidR="00D747F5" w:rsidRPr="00D747F5" w:rsidRDefault="00D747F5">
            <w:pPr>
              <w:spacing w:line="240" w:lineRule="auto"/>
              <w:jc w:val="both"/>
              <w:rPr>
                <w:rFonts w:ascii="Calibri" w:eastAsia="Times New Roman" w:hAnsi="Calibri" w:cs="Calibri"/>
                <w:color w:val="001A70" w:themeColor="accent1"/>
                <w:szCs w:val="20"/>
                <w:lang w:eastAsia="cs-CZ"/>
              </w:rPr>
            </w:pPr>
            <w:r w:rsidRPr="00D747F5">
              <w:rPr>
                <w:rFonts w:ascii="Calibri" w:eastAsia="Times New Roman" w:hAnsi="Calibri" w:cs="Calibri"/>
                <w:color w:val="001A70" w:themeColor="accent1"/>
                <w:szCs w:val="20"/>
                <w:lang w:eastAsia="cs-CZ"/>
              </w:rPr>
              <w:t>... for the Czech economy</w:t>
            </w:r>
          </w:p>
        </w:tc>
        <w:tc>
          <w:tcPr>
            <w:tcW w:w="0" w:type="auto"/>
            <w:tcBorders>
              <w:top w:val="single" w:sz="24" w:space="0" w:color="FFFFFF"/>
              <w:left w:val="single" w:sz="8" w:space="0" w:color="FFFFFF"/>
              <w:bottom w:val="single" w:sz="24" w:space="0" w:color="FFFFFF"/>
              <w:right w:val="single" w:sz="8" w:space="0" w:color="FFFFFF"/>
            </w:tcBorders>
            <w:shd w:val="clear" w:color="auto" w:fill="F2F2F2" w:themeFill="background1" w:themeFillShade="F2"/>
            <w:tcMar>
              <w:top w:w="80" w:type="dxa"/>
              <w:left w:w="140" w:type="dxa"/>
              <w:bottom w:w="80" w:type="dxa"/>
              <w:right w:w="140" w:type="dxa"/>
            </w:tcMar>
            <w:vAlign w:val="center"/>
            <w:hideMark/>
          </w:tcPr>
          <w:p w14:paraId="22BEEFD1" w14:textId="77777777" w:rsidR="00D747F5" w:rsidRPr="00D747F5" w:rsidRDefault="00D747F5">
            <w:pPr>
              <w:spacing w:line="240" w:lineRule="auto"/>
              <w:jc w:val="both"/>
              <w:rPr>
                <w:rFonts w:ascii="Calibri" w:eastAsia="Times New Roman" w:hAnsi="Calibri" w:cs="Calibri"/>
                <w:color w:val="001A70" w:themeColor="accent1"/>
                <w:szCs w:val="20"/>
                <w:lang w:eastAsia="cs-CZ"/>
              </w:rPr>
            </w:pPr>
            <w:r w:rsidRPr="00D747F5">
              <w:rPr>
                <w:rFonts w:ascii="Calibri" w:eastAsia="Times New Roman" w:hAnsi="Calibri" w:cs="Calibri"/>
                <w:color w:val="001A70" w:themeColor="accent1"/>
                <w:szCs w:val="20"/>
                <w:lang w:eastAsia="cs-CZ"/>
              </w:rPr>
              <w:t>65 %</w:t>
            </w:r>
          </w:p>
        </w:tc>
        <w:tc>
          <w:tcPr>
            <w:tcW w:w="0" w:type="auto"/>
            <w:tcBorders>
              <w:top w:val="single" w:sz="24" w:space="0" w:color="FFFFFF"/>
              <w:left w:val="single" w:sz="8" w:space="0" w:color="FFFFFF"/>
              <w:bottom w:val="single" w:sz="24" w:space="0" w:color="FFFFFF"/>
              <w:right w:val="single" w:sz="8" w:space="0" w:color="FFFFFF"/>
            </w:tcBorders>
            <w:shd w:val="clear" w:color="auto" w:fill="F2F2F2" w:themeFill="background1" w:themeFillShade="F2"/>
            <w:tcMar>
              <w:top w:w="80" w:type="dxa"/>
              <w:left w:w="140" w:type="dxa"/>
              <w:bottom w:w="80" w:type="dxa"/>
              <w:right w:w="140" w:type="dxa"/>
            </w:tcMar>
            <w:vAlign w:val="center"/>
            <w:hideMark/>
          </w:tcPr>
          <w:p w14:paraId="1202F208" w14:textId="77777777" w:rsidR="00D747F5" w:rsidRPr="00D747F5" w:rsidRDefault="00D747F5">
            <w:pPr>
              <w:spacing w:line="240" w:lineRule="auto"/>
              <w:jc w:val="both"/>
              <w:rPr>
                <w:rFonts w:ascii="Calibri" w:eastAsia="Times New Roman" w:hAnsi="Calibri" w:cs="Calibri"/>
                <w:color w:val="001A70" w:themeColor="accent1"/>
                <w:szCs w:val="20"/>
                <w:lang w:eastAsia="cs-CZ"/>
              </w:rPr>
            </w:pPr>
            <w:r w:rsidRPr="00D747F5">
              <w:rPr>
                <w:rFonts w:ascii="Calibri" w:eastAsia="Times New Roman" w:hAnsi="Calibri" w:cs="Calibri"/>
                <w:color w:val="001A70" w:themeColor="accent1"/>
                <w:szCs w:val="20"/>
                <w:lang w:eastAsia="cs-CZ"/>
              </w:rPr>
              <w:t>65 %</w:t>
            </w:r>
          </w:p>
        </w:tc>
        <w:tc>
          <w:tcPr>
            <w:tcW w:w="0" w:type="auto"/>
            <w:tcBorders>
              <w:top w:val="single" w:sz="24" w:space="0" w:color="FFFFFF"/>
              <w:left w:val="single" w:sz="8" w:space="0" w:color="FFFFFF"/>
              <w:bottom w:val="single" w:sz="24" w:space="0" w:color="FFFFFF"/>
              <w:right w:val="single" w:sz="8" w:space="0" w:color="FFFFFF"/>
            </w:tcBorders>
            <w:shd w:val="clear" w:color="auto" w:fill="F2F2F2" w:themeFill="background1" w:themeFillShade="F2"/>
            <w:tcMar>
              <w:top w:w="80" w:type="dxa"/>
              <w:left w:w="140" w:type="dxa"/>
              <w:bottom w:w="80" w:type="dxa"/>
              <w:right w:w="140" w:type="dxa"/>
            </w:tcMar>
            <w:vAlign w:val="center"/>
            <w:hideMark/>
          </w:tcPr>
          <w:p w14:paraId="160BCCDD" w14:textId="77777777" w:rsidR="00D747F5" w:rsidRPr="00D747F5" w:rsidRDefault="00D747F5">
            <w:pPr>
              <w:spacing w:line="240" w:lineRule="auto"/>
              <w:jc w:val="both"/>
              <w:rPr>
                <w:rFonts w:ascii="Calibri" w:eastAsia="Times New Roman" w:hAnsi="Calibri" w:cs="Calibri"/>
                <w:color w:val="001A70" w:themeColor="accent1"/>
                <w:szCs w:val="20"/>
                <w:lang w:eastAsia="cs-CZ"/>
              </w:rPr>
            </w:pPr>
            <w:r w:rsidRPr="00D747F5">
              <w:rPr>
                <w:rFonts w:ascii="Calibri" w:eastAsia="Times New Roman" w:hAnsi="Calibri" w:cs="Calibri"/>
                <w:color w:val="001A70" w:themeColor="accent1"/>
                <w:szCs w:val="20"/>
                <w:lang w:eastAsia="cs-CZ"/>
              </w:rPr>
              <w:t>65 %</w:t>
            </w:r>
          </w:p>
        </w:tc>
        <w:tc>
          <w:tcPr>
            <w:tcW w:w="0" w:type="auto"/>
            <w:tcBorders>
              <w:top w:val="single" w:sz="24" w:space="0" w:color="FFFFFF"/>
              <w:left w:val="single" w:sz="8" w:space="0" w:color="FFFFFF"/>
              <w:bottom w:val="single" w:sz="24" w:space="0" w:color="FFFFFF"/>
              <w:right w:val="single" w:sz="8" w:space="0" w:color="FFFFFF"/>
            </w:tcBorders>
            <w:shd w:val="clear" w:color="auto" w:fill="F2F2F2" w:themeFill="background1" w:themeFillShade="F2"/>
            <w:tcMar>
              <w:top w:w="80" w:type="dxa"/>
              <w:left w:w="140" w:type="dxa"/>
              <w:bottom w:w="80" w:type="dxa"/>
              <w:right w:w="140" w:type="dxa"/>
            </w:tcMar>
            <w:vAlign w:val="center"/>
            <w:hideMark/>
          </w:tcPr>
          <w:p w14:paraId="5DBEF75A" w14:textId="77777777" w:rsidR="00D747F5" w:rsidRPr="00D747F5" w:rsidRDefault="00D747F5">
            <w:pPr>
              <w:spacing w:line="240" w:lineRule="auto"/>
              <w:jc w:val="both"/>
              <w:rPr>
                <w:rFonts w:ascii="Calibri" w:eastAsia="Times New Roman" w:hAnsi="Calibri" w:cs="Calibri"/>
                <w:color w:val="001A70" w:themeColor="accent1"/>
                <w:szCs w:val="20"/>
                <w:lang w:eastAsia="cs-CZ"/>
              </w:rPr>
            </w:pPr>
            <w:r w:rsidRPr="00D747F5">
              <w:rPr>
                <w:rFonts w:ascii="Calibri" w:eastAsia="Times New Roman" w:hAnsi="Calibri" w:cs="Calibri"/>
                <w:color w:val="001A70" w:themeColor="accent1"/>
                <w:szCs w:val="20"/>
                <w:lang w:eastAsia="cs-CZ"/>
              </w:rPr>
              <w:t>65 %</w:t>
            </w:r>
          </w:p>
        </w:tc>
      </w:tr>
      <w:tr w:rsidR="00D747F5" w:rsidRPr="00D747F5" w14:paraId="1689525E" w14:textId="77777777">
        <w:trPr>
          <w:trHeight w:val="360"/>
          <w:jc w:val="center"/>
        </w:trPr>
        <w:tc>
          <w:tcPr>
            <w:tcW w:w="0" w:type="auto"/>
            <w:gridSpan w:val="5"/>
            <w:tcBorders>
              <w:top w:val="single" w:sz="24" w:space="0" w:color="FFFFFF"/>
              <w:left w:val="single" w:sz="8" w:space="0" w:color="FFFFFF"/>
              <w:bottom w:val="single" w:sz="24" w:space="0" w:color="FFFFFF"/>
              <w:right w:val="single" w:sz="8" w:space="0" w:color="FFFFFF"/>
            </w:tcBorders>
            <w:shd w:val="clear" w:color="auto" w:fill="CBCBCB"/>
            <w:tcMar>
              <w:top w:w="80" w:type="dxa"/>
              <w:left w:w="140" w:type="dxa"/>
              <w:bottom w:w="80" w:type="dxa"/>
              <w:right w:w="140" w:type="dxa"/>
            </w:tcMar>
            <w:vAlign w:val="center"/>
            <w:hideMark/>
          </w:tcPr>
          <w:p w14:paraId="3CF823FC" w14:textId="77777777" w:rsidR="00D747F5" w:rsidRPr="00D747F5" w:rsidRDefault="00D747F5">
            <w:pPr>
              <w:spacing w:line="240" w:lineRule="auto"/>
              <w:rPr>
                <w:rFonts w:ascii="Calibri" w:eastAsia="Times New Roman" w:hAnsi="Calibri" w:cs="Calibri"/>
                <w:color w:val="001A70" w:themeColor="accent1"/>
                <w:szCs w:val="20"/>
                <w:lang w:eastAsia="cs-CZ"/>
              </w:rPr>
            </w:pPr>
            <w:r w:rsidRPr="00D747F5">
              <w:rPr>
                <w:rFonts w:ascii="Calibri" w:eastAsia="Times New Roman" w:hAnsi="Calibri" w:cs="Calibri"/>
                <w:b/>
                <w:bCs/>
                <w:color w:val="001A70" w:themeColor="accent1"/>
                <w:szCs w:val="20"/>
                <w:lang w:eastAsia="cs-CZ"/>
              </w:rPr>
              <w:t>Impact on GDP</w:t>
            </w:r>
          </w:p>
        </w:tc>
      </w:tr>
      <w:tr w:rsidR="00D747F5" w:rsidRPr="00D747F5" w14:paraId="06ADAE06" w14:textId="77777777">
        <w:trPr>
          <w:trHeight w:val="359"/>
          <w:jc w:val="center"/>
        </w:trPr>
        <w:tc>
          <w:tcPr>
            <w:tcW w:w="0" w:type="auto"/>
            <w:tcBorders>
              <w:top w:val="single" w:sz="24" w:space="0" w:color="FFFFFF"/>
              <w:left w:val="single" w:sz="8" w:space="0" w:color="FFFFFF"/>
              <w:bottom w:val="single" w:sz="24" w:space="0" w:color="FFFFFF"/>
              <w:right w:val="single" w:sz="8" w:space="0" w:color="FFFFFF"/>
            </w:tcBorders>
            <w:shd w:val="clear" w:color="auto" w:fill="F2F2F2" w:themeFill="background1" w:themeFillShade="F2"/>
            <w:tcMar>
              <w:top w:w="80" w:type="dxa"/>
              <w:left w:w="140" w:type="dxa"/>
              <w:bottom w:w="80" w:type="dxa"/>
              <w:right w:w="140" w:type="dxa"/>
            </w:tcMar>
            <w:vAlign w:val="center"/>
            <w:hideMark/>
          </w:tcPr>
          <w:p w14:paraId="2D29A622" w14:textId="77777777" w:rsidR="00D747F5" w:rsidRPr="00D747F5" w:rsidRDefault="00D747F5">
            <w:pPr>
              <w:spacing w:line="240" w:lineRule="auto"/>
              <w:jc w:val="both"/>
              <w:rPr>
                <w:rFonts w:ascii="Calibri" w:eastAsia="Times New Roman" w:hAnsi="Calibri" w:cs="Calibri"/>
                <w:color w:val="001A70" w:themeColor="accent1"/>
                <w:szCs w:val="20"/>
                <w:lang w:eastAsia="cs-CZ"/>
              </w:rPr>
            </w:pPr>
            <w:r w:rsidRPr="00D747F5">
              <w:rPr>
                <w:rFonts w:ascii="Calibri" w:eastAsia="Times New Roman" w:hAnsi="Calibri" w:cs="Calibri"/>
                <w:color w:val="001A70" w:themeColor="accent1"/>
                <w:szCs w:val="20"/>
                <w:lang w:eastAsia="cs-CZ"/>
              </w:rPr>
              <w:t>Direct + indirect</w:t>
            </w:r>
          </w:p>
        </w:tc>
        <w:tc>
          <w:tcPr>
            <w:tcW w:w="0" w:type="auto"/>
            <w:tcBorders>
              <w:top w:val="single" w:sz="24" w:space="0" w:color="FFFFFF"/>
              <w:left w:val="single" w:sz="8" w:space="0" w:color="FFFFFF"/>
              <w:bottom w:val="single" w:sz="24" w:space="0" w:color="FFFFFF"/>
              <w:right w:val="single" w:sz="8" w:space="0" w:color="FFFFFF"/>
            </w:tcBorders>
            <w:shd w:val="clear" w:color="auto" w:fill="F2F2F2" w:themeFill="background1" w:themeFillShade="F2"/>
            <w:tcMar>
              <w:top w:w="80" w:type="dxa"/>
              <w:left w:w="140" w:type="dxa"/>
              <w:bottom w:w="80" w:type="dxa"/>
              <w:right w:w="140" w:type="dxa"/>
            </w:tcMar>
            <w:vAlign w:val="center"/>
            <w:hideMark/>
          </w:tcPr>
          <w:p w14:paraId="31D732DB" w14:textId="77777777" w:rsidR="00D747F5" w:rsidRPr="00D747F5" w:rsidRDefault="00D747F5">
            <w:pPr>
              <w:spacing w:line="240" w:lineRule="auto"/>
              <w:jc w:val="both"/>
              <w:rPr>
                <w:rFonts w:ascii="Calibri" w:eastAsia="Times New Roman" w:hAnsi="Calibri" w:cs="Calibri"/>
                <w:color w:val="001A70" w:themeColor="accent1"/>
                <w:szCs w:val="20"/>
                <w:lang w:eastAsia="cs-CZ"/>
              </w:rPr>
            </w:pPr>
            <w:r w:rsidRPr="00D747F5">
              <w:rPr>
                <w:rFonts w:ascii="Calibri" w:eastAsia="Times New Roman" w:hAnsi="Calibri" w:cs="Calibri"/>
                <w:color w:val="001A70" w:themeColor="accent1"/>
                <w:szCs w:val="20"/>
                <w:lang w:eastAsia="cs-CZ"/>
              </w:rPr>
              <w:t>CZK 484 billion</w:t>
            </w:r>
          </w:p>
        </w:tc>
        <w:tc>
          <w:tcPr>
            <w:tcW w:w="0" w:type="auto"/>
            <w:tcBorders>
              <w:top w:val="single" w:sz="24" w:space="0" w:color="FFFFFF"/>
              <w:left w:val="single" w:sz="8" w:space="0" w:color="FFFFFF"/>
              <w:bottom w:val="single" w:sz="24" w:space="0" w:color="FFFFFF"/>
              <w:right w:val="single" w:sz="8" w:space="0" w:color="FFFFFF"/>
            </w:tcBorders>
            <w:shd w:val="clear" w:color="auto" w:fill="F2F2F2" w:themeFill="background1" w:themeFillShade="F2"/>
            <w:tcMar>
              <w:top w:w="80" w:type="dxa"/>
              <w:left w:w="140" w:type="dxa"/>
              <w:bottom w:w="80" w:type="dxa"/>
              <w:right w:w="140" w:type="dxa"/>
            </w:tcMar>
            <w:vAlign w:val="center"/>
            <w:hideMark/>
          </w:tcPr>
          <w:p w14:paraId="27C6C07F" w14:textId="77777777" w:rsidR="00D747F5" w:rsidRPr="00D747F5" w:rsidRDefault="00D747F5">
            <w:pPr>
              <w:spacing w:line="240" w:lineRule="auto"/>
              <w:jc w:val="both"/>
              <w:rPr>
                <w:rFonts w:ascii="Calibri" w:eastAsia="Times New Roman" w:hAnsi="Calibri" w:cs="Calibri"/>
                <w:color w:val="001A70" w:themeColor="accent1"/>
                <w:szCs w:val="20"/>
                <w:lang w:eastAsia="cs-CZ"/>
              </w:rPr>
            </w:pPr>
            <w:r w:rsidRPr="00D747F5">
              <w:rPr>
                <w:rFonts w:ascii="Calibri" w:eastAsia="Times New Roman" w:hAnsi="Calibri" w:cs="Calibri"/>
                <w:color w:val="001A70" w:themeColor="accent1"/>
                <w:szCs w:val="20"/>
                <w:lang w:eastAsia="cs-CZ"/>
              </w:rPr>
              <w:t>CZK 966 billion</w:t>
            </w:r>
          </w:p>
        </w:tc>
        <w:tc>
          <w:tcPr>
            <w:tcW w:w="0" w:type="auto"/>
            <w:tcBorders>
              <w:top w:val="single" w:sz="24" w:space="0" w:color="FFFFFF"/>
              <w:left w:val="single" w:sz="8" w:space="0" w:color="FFFFFF"/>
              <w:bottom w:val="single" w:sz="24" w:space="0" w:color="FFFFFF"/>
              <w:right w:val="single" w:sz="8" w:space="0" w:color="FFFFFF"/>
            </w:tcBorders>
            <w:shd w:val="clear" w:color="auto" w:fill="F2F2F2" w:themeFill="background1" w:themeFillShade="F2"/>
            <w:tcMar>
              <w:top w:w="80" w:type="dxa"/>
              <w:left w:w="140" w:type="dxa"/>
              <w:bottom w:w="80" w:type="dxa"/>
              <w:right w:w="140" w:type="dxa"/>
            </w:tcMar>
            <w:vAlign w:val="center"/>
            <w:hideMark/>
          </w:tcPr>
          <w:p w14:paraId="0ED37FD0" w14:textId="77777777" w:rsidR="00D747F5" w:rsidRPr="00D747F5" w:rsidRDefault="00D747F5">
            <w:pPr>
              <w:spacing w:line="240" w:lineRule="auto"/>
              <w:jc w:val="both"/>
              <w:rPr>
                <w:rFonts w:ascii="Calibri" w:eastAsia="Times New Roman" w:hAnsi="Calibri" w:cs="Calibri"/>
                <w:color w:val="001A70" w:themeColor="accent1"/>
                <w:szCs w:val="20"/>
                <w:lang w:eastAsia="cs-CZ"/>
              </w:rPr>
            </w:pPr>
            <w:r w:rsidRPr="00D747F5">
              <w:rPr>
                <w:rFonts w:ascii="Calibri" w:eastAsia="Times New Roman" w:hAnsi="Calibri" w:cs="Calibri"/>
                <w:color w:val="001A70" w:themeColor="accent1"/>
                <w:szCs w:val="20"/>
                <w:lang w:eastAsia="cs-CZ"/>
              </w:rPr>
              <w:t>CZK 1.450 billion</w:t>
            </w:r>
          </w:p>
        </w:tc>
        <w:tc>
          <w:tcPr>
            <w:tcW w:w="0" w:type="auto"/>
            <w:tcBorders>
              <w:top w:val="single" w:sz="24" w:space="0" w:color="FFFFFF"/>
              <w:left w:val="single" w:sz="8" w:space="0" w:color="FFFFFF"/>
              <w:bottom w:val="single" w:sz="24" w:space="0" w:color="FFFFFF"/>
              <w:right w:val="single" w:sz="8" w:space="0" w:color="FFFFFF"/>
            </w:tcBorders>
            <w:shd w:val="clear" w:color="auto" w:fill="F2F2F2" w:themeFill="background1" w:themeFillShade="F2"/>
            <w:tcMar>
              <w:top w:w="80" w:type="dxa"/>
              <w:left w:w="140" w:type="dxa"/>
              <w:bottom w:w="80" w:type="dxa"/>
              <w:right w:w="140" w:type="dxa"/>
            </w:tcMar>
            <w:vAlign w:val="center"/>
            <w:hideMark/>
          </w:tcPr>
          <w:p w14:paraId="62DB0077" w14:textId="77777777" w:rsidR="00D747F5" w:rsidRPr="00D747F5" w:rsidRDefault="00D747F5">
            <w:pPr>
              <w:spacing w:line="240" w:lineRule="auto"/>
              <w:jc w:val="both"/>
              <w:rPr>
                <w:rFonts w:ascii="Calibri" w:eastAsia="Times New Roman" w:hAnsi="Calibri" w:cs="Calibri"/>
                <w:color w:val="001A70" w:themeColor="accent1"/>
                <w:szCs w:val="20"/>
                <w:lang w:eastAsia="cs-CZ"/>
              </w:rPr>
            </w:pPr>
            <w:r w:rsidRPr="00D747F5">
              <w:rPr>
                <w:rFonts w:ascii="Calibri" w:eastAsia="Times New Roman" w:hAnsi="Calibri" w:cs="Calibri"/>
                <w:color w:val="001A70" w:themeColor="accent1"/>
                <w:szCs w:val="20"/>
                <w:lang w:eastAsia="cs-CZ"/>
              </w:rPr>
              <w:t>CZK 1.932 billion</w:t>
            </w:r>
          </w:p>
        </w:tc>
      </w:tr>
      <w:tr w:rsidR="00D747F5" w:rsidRPr="00D747F5" w14:paraId="023F3ED8" w14:textId="77777777">
        <w:trPr>
          <w:trHeight w:val="359"/>
          <w:jc w:val="center"/>
        </w:trPr>
        <w:tc>
          <w:tcPr>
            <w:tcW w:w="0" w:type="auto"/>
            <w:tcBorders>
              <w:top w:val="single" w:sz="24" w:space="0" w:color="FFFFFF"/>
              <w:left w:val="single" w:sz="8" w:space="0" w:color="FFFFFF"/>
              <w:bottom w:val="single" w:sz="24" w:space="0" w:color="FFFFFF"/>
              <w:right w:val="single" w:sz="8" w:space="0" w:color="FFFFFF"/>
            </w:tcBorders>
            <w:shd w:val="clear" w:color="auto" w:fill="F2F2F2" w:themeFill="background1" w:themeFillShade="F2"/>
            <w:tcMar>
              <w:top w:w="80" w:type="dxa"/>
              <w:left w:w="140" w:type="dxa"/>
              <w:bottom w:w="80" w:type="dxa"/>
              <w:right w:w="140" w:type="dxa"/>
            </w:tcMar>
            <w:vAlign w:val="center"/>
            <w:hideMark/>
          </w:tcPr>
          <w:p w14:paraId="4FF9D905" w14:textId="77777777" w:rsidR="00D747F5" w:rsidRPr="00D747F5" w:rsidRDefault="00D747F5">
            <w:pPr>
              <w:spacing w:line="240" w:lineRule="auto"/>
              <w:jc w:val="both"/>
              <w:rPr>
                <w:rFonts w:ascii="Calibri" w:eastAsia="Times New Roman" w:hAnsi="Calibri" w:cs="Calibri"/>
                <w:color w:val="001A70" w:themeColor="accent1"/>
                <w:szCs w:val="20"/>
                <w:lang w:eastAsia="cs-CZ"/>
              </w:rPr>
            </w:pPr>
            <w:r w:rsidRPr="00D747F5">
              <w:rPr>
                <w:rFonts w:ascii="Calibri" w:eastAsia="Times New Roman" w:hAnsi="Calibri" w:cs="Calibri"/>
                <w:color w:val="001A70" w:themeColor="accent1"/>
                <w:szCs w:val="20"/>
                <w:lang w:eastAsia="cs-CZ"/>
              </w:rPr>
              <w:t>Induced</w:t>
            </w:r>
          </w:p>
        </w:tc>
        <w:tc>
          <w:tcPr>
            <w:tcW w:w="0" w:type="auto"/>
            <w:tcBorders>
              <w:top w:val="single" w:sz="24" w:space="0" w:color="FFFFFF"/>
              <w:left w:val="single" w:sz="8" w:space="0" w:color="FFFFFF"/>
              <w:bottom w:val="single" w:sz="24" w:space="0" w:color="FFFFFF"/>
              <w:right w:val="single" w:sz="8" w:space="0" w:color="FFFFFF"/>
            </w:tcBorders>
            <w:shd w:val="clear" w:color="auto" w:fill="F2F2F2" w:themeFill="background1" w:themeFillShade="F2"/>
            <w:tcMar>
              <w:top w:w="80" w:type="dxa"/>
              <w:left w:w="140" w:type="dxa"/>
              <w:bottom w:w="80" w:type="dxa"/>
              <w:right w:w="140" w:type="dxa"/>
            </w:tcMar>
            <w:vAlign w:val="center"/>
            <w:hideMark/>
          </w:tcPr>
          <w:p w14:paraId="3F07818A" w14:textId="77777777" w:rsidR="00D747F5" w:rsidRPr="00D747F5" w:rsidRDefault="00D747F5">
            <w:pPr>
              <w:spacing w:line="240" w:lineRule="auto"/>
              <w:jc w:val="both"/>
              <w:rPr>
                <w:rFonts w:ascii="Calibri" w:eastAsia="Times New Roman" w:hAnsi="Calibri" w:cs="Calibri"/>
                <w:color w:val="001A70" w:themeColor="accent1"/>
                <w:szCs w:val="20"/>
                <w:lang w:eastAsia="cs-CZ"/>
              </w:rPr>
            </w:pPr>
            <w:r w:rsidRPr="00D747F5">
              <w:rPr>
                <w:rFonts w:ascii="Calibri" w:eastAsia="Times New Roman" w:hAnsi="Calibri" w:cs="Calibri"/>
                <w:color w:val="001A70" w:themeColor="accent1"/>
                <w:szCs w:val="20"/>
                <w:lang w:eastAsia="cs-CZ"/>
              </w:rPr>
              <w:t>CZK 48 billion</w:t>
            </w:r>
          </w:p>
        </w:tc>
        <w:tc>
          <w:tcPr>
            <w:tcW w:w="0" w:type="auto"/>
            <w:tcBorders>
              <w:top w:val="single" w:sz="24" w:space="0" w:color="FFFFFF"/>
              <w:left w:val="single" w:sz="8" w:space="0" w:color="FFFFFF"/>
              <w:bottom w:val="single" w:sz="24" w:space="0" w:color="FFFFFF"/>
              <w:right w:val="single" w:sz="8" w:space="0" w:color="FFFFFF"/>
            </w:tcBorders>
            <w:shd w:val="clear" w:color="auto" w:fill="F2F2F2" w:themeFill="background1" w:themeFillShade="F2"/>
            <w:tcMar>
              <w:top w:w="80" w:type="dxa"/>
              <w:left w:w="140" w:type="dxa"/>
              <w:bottom w:w="80" w:type="dxa"/>
              <w:right w:w="140" w:type="dxa"/>
            </w:tcMar>
            <w:vAlign w:val="center"/>
            <w:hideMark/>
          </w:tcPr>
          <w:p w14:paraId="1E01541E" w14:textId="77777777" w:rsidR="00D747F5" w:rsidRPr="00D747F5" w:rsidRDefault="00D747F5">
            <w:pPr>
              <w:spacing w:line="240" w:lineRule="auto"/>
              <w:jc w:val="both"/>
              <w:rPr>
                <w:rFonts w:ascii="Calibri" w:eastAsia="Times New Roman" w:hAnsi="Calibri" w:cs="Calibri"/>
                <w:color w:val="001A70" w:themeColor="accent1"/>
                <w:szCs w:val="20"/>
                <w:lang w:eastAsia="cs-CZ"/>
              </w:rPr>
            </w:pPr>
            <w:r w:rsidRPr="00D747F5">
              <w:rPr>
                <w:rFonts w:ascii="Calibri" w:eastAsia="Times New Roman" w:hAnsi="Calibri" w:cs="Calibri"/>
                <w:color w:val="001A70" w:themeColor="accent1"/>
                <w:szCs w:val="20"/>
                <w:lang w:eastAsia="cs-CZ"/>
              </w:rPr>
              <w:t>CZK 96 billion</w:t>
            </w:r>
          </w:p>
        </w:tc>
        <w:tc>
          <w:tcPr>
            <w:tcW w:w="0" w:type="auto"/>
            <w:tcBorders>
              <w:top w:val="single" w:sz="24" w:space="0" w:color="FFFFFF"/>
              <w:left w:val="single" w:sz="8" w:space="0" w:color="FFFFFF"/>
              <w:bottom w:val="single" w:sz="24" w:space="0" w:color="FFFFFF"/>
              <w:right w:val="single" w:sz="8" w:space="0" w:color="FFFFFF"/>
            </w:tcBorders>
            <w:shd w:val="clear" w:color="auto" w:fill="F2F2F2" w:themeFill="background1" w:themeFillShade="F2"/>
            <w:tcMar>
              <w:top w:w="80" w:type="dxa"/>
              <w:left w:w="140" w:type="dxa"/>
              <w:bottom w:w="80" w:type="dxa"/>
              <w:right w:w="140" w:type="dxa"/>
            </w:tcMar>
            <w:vAlign w:val="center"/>
            <w:hideMark/>
          </w:tcPr>
          <w:p w14:paraId="3404B33A" w14:textId="77777777" w:rsidR="00D747F5" w:rsidRPr="00D747F5" w:rsidRDefault="00D747F5">
            <w:pPr>
              <w:spacing w:line="240" w:lineRule="auto"/>
              <w:jc w:val="both"/>
              <w:rPr>
                <w:rFonts w:ascii="Calibri" w:eastAsia="Times New Roman" w:hAnsi="Calibri" w:cs="Calibri"/>
                <w:color w:val="001A70" w:themeColor="accent1"/>
                <w:szCs w:val="20"/>
                <w:lang w:eastAsia="cs-CZ"/>
              </w:rPr>
            </w:pPr>
            <w:r w:rsidRPr="00D747F5">
              <w:rPr>
                <w:rFonts w:ascii="Calibri" w:eastAsia="Times New Roman" w:hAnsi="Calibri" w:cs="Calibri"/>
                <w:color w:val="001A70" w:themeColor="accent1"/>
                <w:szCs w:val="20"/>
                <w:lang w:eastAsia="cs-CZ"/>
              </w:rPr>
              <w:t>CZK 144 billion</w:t>
            </w:r>
          </w:p>
        </w:tc>
        <w:tc>
          <w:tcPr>
            <w:tcW w:w="0" w:type="auto"/>
            <w:tcBorders>
              <w:top w:val="single" w:sz="24" w:space="0" w:color="FFFFFF"/>
              <w:left w:val="single" w:sz="8" w:space="0" w:color="FFFFFF"/>
              <w:bottom w:val="single" w:sz="24" w:space="0" w:color="FFFFFF"/>
              <w:right w:val="single" w:sz="8" w:space="0" w:color="FFFFFF"/>
            </w:tcBorders>
            <w:shd w:val="clear" w:color="auto" w:fill="F2F2F2" w:themeFill="background1" w:themeFillShade="F2"/>
            <w:tcMar>
              <w:top w:w="80" w:type="dxa"/>
              <w:left w:w="140" w:type="dxa"/>
              <w:bottom w:w="80" w:type="dxa"/>
              <w:right w:w="140" w:type="dxa"/>
            </w:tcMar>
            <w:vAlign w:val="center"/>
            <w:hideMark/>
          </w:tcPr>
          <w:p w14:paraId="335C97FB" w14:textId="77777777" w:rsidR="00D747F5" w:rsidRPr="00D747F5" w:rsidRDefault="00D747F5">
            <w:pPr>
              <w:spacing w:line="240" w:lineRule="auto"/>
              <w:jc w:val="both"/>
              <w:rPr>
                <w:rFonts w:ascii="Calibri" w:eastAsia="Times New Roman" w:hAnsi="Calibri" w:cs="Calibri"/>
                <w:color w:val="001A70" w:themeColor="accent1"/>
                <w:szCs w:val="20"/>
                <w:lang w:eastAsia="cs-CZ"/>
              </w:rPr>
            </w:pPr>
            <w:r w:rsidRPr="00D747F5">
              <w:rPr>
                <w:rFonts w:ascii="Calibri" w:eastAsia="Times New Roman" w:hAnsi="Calibri" w:cs="Calibri"/>
                <w:color w:val="001A70" w:themeColor="accent1"/>
                <w:szCs w:val="20"/>
                <w:lang w:eastAsia="cs-CZ"/>
              </w:rPr>
              <w:t>CZK 192 billion</w:t>
            </w:r>
          </w:p>
        </w:tc>
      </w:tr>
      <w:tr w:rsidR="00D747F5" w:rsidRPr="00D747F5" w14:paraId="1B8EB149" w14:textId="77777777">
        <w:trPr>
          <w:trHeight w:val="359"/>
          <w:jc w:val="center"/>
        </w:trPr>
        <w:tc>
          <w:tcPr>
            <w:tcW w:w="0" w:type="auto"/>
            <w:tcBorders>
              <w:top w:val="single" w:sz="24" w:space="0" w:color="FFFFFF"/>
              <w:left w:val="single" w:sz="8" w:space="0" w:color="FFFFFF"/>
              <w:bottom w:val="single" w:sz="24" w:space="0" w:color="FFFFFF"/>
              <w:right w:val="single" w:sz="8" w:space="0" w:color="FFFFFF"/>
            </w:tcBorders>
            <w:shd w:val="clear" w:color="auto" w:fill="CBCBCB"/>
            <w:tcMar>
              <w:top w:w="80" w:type="dxa"/>
              <w:left w:w="140" w:type="dxa"/>
              <w:bottom w:w="80" w:type="dxa"/>
              <w:right w:w="140" w:type="dxa"/>
            </w:tcMar>
            <w:vAlign w:val="center"/>
            <w:hideMark/>
          </w:tcPr>
          <w:p w14:paraId="4F5AA2F5" w14:textId="77777777" w:rsidR="00D747F5" w:rsidRPr="00D747F5" w:rsidRDefault="00D747F5">
            <w:pPr>
              <w:spacing w:line="240" w:lineRule="auto"/>
              <w:jc w:val="both"/>
              <w:rPr>
                <w:rFonts w:ascii="Calibri" w:eastAsia="Times New Roman" w:hAnsi="Calibri" w:cs="Calibri"/>
                <w:color w:val="001A70" w:themeColor="accent1"/>
                <w:szCs w:val="20"/>
                <w:lang w:eastAsia="cs-CZ"/>
              </w:rPr>
            </w:pPr>
            <w:r w:rsidRPr="00D747F5">
              <w:rPr>
                <w:rFonts w:ascii="Calibri" w:eastAsia="Times New Roman" w:hAnsi="Calibri" w:cs="Calibri"/>
                <w:b/>
                <w:bCs/>
                <w:color w:val="001A70" w:themeColor="accent1"/>
                <w:szCs w:val="20"/>
                <w:lang w:eastAsia="cs-CZ"/>
              </w:rPr>
              <w:t>TOTAL</w:t>
            </w:r>
          </w:p>
        </w:tc>
        <w:tc>
          <w:tcPr>
            <w:tcW w:w="0" w:type="auto"/>
            <w:tcBorders>
              <w:top w:val="single" w:sz="24" w:space="0" w:color="FFFFFF"/>
              <w:left w:val="single" w:sz="8" w:space="0" w:color="FFFFFF"/>
              <w:bottom w:val="single" w:sz="24" w:space="0" w:color="FFFFFF"/>
              <w:right w:val="single" w:sz="8" w:space="0" w:color="FFFFFF"/>
            </w:tcBorders>
            <w:shd w:val="clear" w:color="auto" w:fill="CBCBCB"/>
            <w:tcMar>
              <w:top w:w="80" w:type="dxa"/>
              <w:left w:w="140" w:type="dxa"/>
              <w:bottom w:w="80" w:type="dxa"/>
              <w:right w:w="140" w:type="dxa"/>
            </w:tcMar>
            <w:vAlign w:val="center"/>
            <w:hideMark/>
          </w:tcPr>
          <w:p w14:paraId="632A7D93" w14:textId="77777777" w:rsidR="00D747F5" w:rsidRPr="00D747F5" w:rsidRDefault="00D747F5">
            <w:pPr>
              <w:spacing w:line="240" w:lineRule="auto"/>
              <w:jc w:val="both"/>
              <w:rPr>
                <w:rFonts w:ascii="Calibri" w:eastAsia="Times New Roman" w:hAnsi="Calibri" w:cs="Calibri"/>
                <w:color w:val="001A70" w:themeColor="accent1"/>
                <w:szCs w:val="20"/>
                <w:lang w:eastAsia="cs-CZ"/>
              </w:rPr>
            </w:pPr>
            <w:r w:rsidRPr="00D747F5">
              <w:rPr>
                <w:rFonts w:ascii="Calibri" w:eastAsia="Times New Roman" w:hAnsi="Calibri" w:cs="Calibri"/>
                <w:b/>
                <w:bCs/>
                <w:color w:val="001A70" w:themeColor="accent1"/>
                <w:szCs w:val="20"/>
                <w:lang w:eastAsia="cs-CZ"/>
              </w:rPr>
              <w:t>CZK 532 billion</w:t>
            </w:r>
          </w:p>
        </w:tc>
        <w:tc>
          <w:tcPr>
            <w:tcW w:w="0" w:type="auto"/>
            <w:tcBorders>
              <w:top w:val="single" w:sz="24" w:space="0" w:color="FFFFFF"/>
              <w:left w:val="single" w:sz="8" w:space="0" w:color="FFFFFF"/>
              <w:bottom w:val="single" w:sz="24" w:space="0" w:color="FFFFFF"/>
              <w:right w:val="single" w:sz="8" w:space="0" w:color="FFFFFF"/>
            </w:tcBorders>
            <w:shd w:val="clear" w:color="auto" w:fill="CBCBCB"/>
            <w:tcMar>
              <w:top w:w="80" w:type="dxa"/>
              <w:left w:w="140" w:type="dxa"/>
              <w:bottom w:w="80" w:type="dxa"/>
              <w:right w:w="140" w:type="dxa"/>
            </w:tcMar>
            <w:vAlign w:val="center"/>
            <w:hideMark/>
          </w:tcPr>
          <w:p w14:paraId="702068CF" w14:textId="77777777" w:rsidR="00D747F5" w:rsidRPr="00D747F5" w:rsidRDefault="00D747F5">
            <w:pPr>
              <w:spacing w:line="240" w:lineRule="auto"/>
              <w:jc w:val="both"/>
              <w:rPr>
                <w:rFonts w:ascii="Calibri" w:eastAsia="Times New Roman" w:hAnsi="Calibri" w:cs="Calibri"/>
                <w:color w:val="001A70" w:themeColor="accent1"/>
                <w:szCs w:val="20"/>
                <w:lang w:eastAsia="cs-CZ"/>
              </w:rPr>
            </w:pPr>
            <w:r w:rsidRPr="00D747F5">
              <w:rPr>
                <w:rFonts w:ascii="Calibri" w:eastAsia="Times New Roman" w:hAnsi="Calibri" w:cs="Calibri"/>
                <w:b/>
                <w:bCs/>
                <w:color w:val="001A70" w:themeColor="accent1"/>
                <w:szCs w:val="20"/>
                <w:lang w:eastAsia="cs-CZ"/>
              </w:rPr>
              <w:t>CZK 1.062 billion</w:t>
            </w:r>
          </w:p>
        </w:tc>
        <w:tc>
          <w:tcPr>
            <w:tcW w:w="0" w:type="auto"/>
            <w:tcBorders>
              <w:top w:val="single" w:sz="24" w:space="0" w:color="FFFFFF"/>
              <w:left w:val="single" w:sz="8" w:space="0" w:color="FFFFFF"/>
              <w:bottom w:val="single" w:sz="24" w:space="0" w:color="FFFFFF"/>
              <w:right w:val="single" w:sz="8" w:space="0" w:color="FFFFFF"/>
            </w:tcBorders>
            <w:shd w:val="clear" w:color="auto" w:fill="CBCBCB"/>
            <w:tcMar>
              <w:top w:w="80" w:type="dxa"/>
              <w:left w:w="140" w:type="dxa"/>
              <w:bottom w:w="80" w:type="dxa"/>
              <w:right w:w="140" w:type="dxa"/>
            </w:tcMar>
            <w:vAlign w:val="center"/>
            <w:hideMark/>
          </w:tcPr>
          <w:p w14:paraId="2661C96F" w14:textId="77777777" w:rsidR="00D747F5" w:rsidRPr="00D747F5" w:rsidRDefault="00D747F5">
            <w:pPr>
              <w:spacing w:line="240" w:lineRule="auto"/>
              <w:jc w:val="both"/>
              <w:rPr>
                <w:rFonts w:ascii="Calibri" w:eastAsia="Times New Roman" w:hAnsi="Calibri" w:cs="Calibri"/>
                <w:color w:val="001A70" w:themeColor="accent1"/>
                <w:szCs w:val="20"/>
                <w:lang w:eastAsia="cs-CZ"/>
              </w:rPr>
            </w:pPr>
            <w:r w:rsidRPr="00D747F5">
              <w:rPr>
                <w:rFonts w:ascii="Calibri" w:eastAsia="Times New Roman" w:hAnsi="Calibri" w:cs="Calibri"/>
                <w:b/>
                <w:bCs/>
                <w:color w:val="001A70" w:themeColor="accent1"/>
                <w:szCs w:val="20"/>
                <w:lang w:eastAsia="cs-CZ"/>
              </w:rPr>
              <w:t>CZK 1.594 billion</w:t>
            </w:r>
          </w:p>
        </w:tc>
        <w:tc>
          <w:tcPr>
            <w:tcW w:w="0" w:type="auto"/>
            <w:tcBorders>
              <w:top w:val="single" w:sz="24" w:space="0" w:color="FFFFFF"/>
              <w:left w:val="single" w:sz="8" w:space="0" w:color="FFFFFF"/>
              <w:bottom w:val="single" w:sz="24" w:space="0" w:color="FFFFFF"/>
              <w:right w:val="single" w:sz="8" w:space="0" w:color="FFFFFF"/>
            </w:tcBorders>
            <w:shd w:val="clear" w:color="auto" w:fill="CBCBCB"/>
            <w:tcMar>
              <w:top w:w="80" w:type="dxa"/>
              <w:left w:w="140" w:type="dxa"/>
              <w:bottom w:w="80" w:type="dxa"/>
              <w:right w:w="140" w:type="dxa"/>
            </w:tcMar>
            <w:vAlign w:val="center"/>
            <w:hideMark/>
          </w:tcPr>
          <w:p w14:paraId="10796119" w14:textId="77777777" w:rsidR="00D747F5" w:rsidRPr="00D747F5" w:rsidRDefault="00D747F5">
            <w:pPr>
              <w:spacing w:line="240" w:lineRule="auto"/>
              <w:jc w:val="both"/>
              <w:rPr>
                <w:rFonts w:ascii="Calibri" w:eastAsia="Times New Roman" w:hAnsi="Calibri" w:cs="Calibri"/>
                <w:color w:val="001A70" w:themeColor="accent1"/>
                <w:szCs w:val="20"/>
                <w:lang w:eastAsia="cs-CZ"/>
              </w:rPr>
            </w:pPr>
            <w:r w:rsidRPr="00D747F5">
              <w:rPr>
                <w:rFonts w:ascii="Calibri" w:eastAsia="Times New Roman" w:hAnsi="Calibri" w:cs="Calibri"/>
                <w:b/>
                <w:bCs/>
                <w:color w:val="001A70" w:themeColor="accent1"/>
                <w:szCs w:val="20"/>
                <w:lang w:eastAsia="cs-CZ"/>
              </w:rPr>
              <w:t>CZK 2.124 billion</w:t>
            </w:r>
          </w:p>
        </w:tc>
      </w:tr>
      <w:tr w:rsidR="00D747F5" w:rsidRPr="00D747F5" w14:paraId="71D50AA7" w14:textId="77777777">
        <w:trPr>
          <w:trHeight w:val="359"/>
          <w:jc w:val="center"/>
        </w:trPr>
        <w:tc>
          <w:tcPr>
            <w:tcW w:w="0" w:type="auto"/>
            <w:tcBorders>
              <w:top w:val="single" w:sz="24" w:space="0" w:color="FFFFFF"/>
              <w:left w:val="single" w:sz="8" w:space="0" w:color="FFFFFF"/>
              <w:bottom w:val="single" w:sz="8" w:space="0" w:color="FFFFFF"/>
              <w:right w:val="single" w:sz="8" w:space="0" w:color="FFFFFF"/>
            </w:tcBorders>
            <w:shd w:val="clear" w:color="auto" w:fill="CBCBCB"/>
            <w:tcMar>
              <w:top w:w="80" w:type="dxa"/>
              <w:left w:w="140" w:type="dxa"/>
              <w:bottom w:w="80" w:type="dxa"/>
              <w:right w:w="140" w:type="dxa"/>
            </w:tcMar>
            <w:vAlign w:val="center"/>
            <w:hideMark/>
          </w:tcPr>
          <w:p w14:paraId="4C33EFA5" w14:textId="77777777" w:rsidR="00D747F5" w:rsidRPr="00D747F5" w:rsidRDefault="00D747F5">
            <w:pPr>
              <w:spacing w:line="240" w:lineRule="auto"/>
              <w:jc w:val="both"/>
              <w:rPr>
                <w:rFonts w:ascii="Calibri" w:eastAsia="Times New Roman" w:hAnsi="Calibri" w:cs="Calibri"/>
                <w:color w:val="001A70" w:themeColor="accent1"/>
                <w:szCs w:val="20"/>
                <w:lang w:eastAsia="cs-CZ"/>
              </w:rPr>
            </w:pPr>
            <w:r w:rsidRPr="00D747F5">
              <w:rPr>
                <w:rFonts w:ascii="Calibri" w:eastAsia="Times New Roman" w:hAnsi="Calibri" w:cs="Calibri"/>
                <w:b/>
                <w:bCs/>
                <w:color w:val="001A70" w:themeColor="accent1"/>
                <w:szCs w:val="20"/>
                <w:lang w:eastAsia="cs-CZ"/>
              </w:rPr>
              <w:t>Impact on public budgets</w:t>
            </w:r>
          </w:p>
        </w:tc>
        <w:tc>
          <w:tcPr>
            <w:tcW w:w="0" w:type="auto"/>
            <w:tcBorders>
              <w:top w:val="single" w:sz="24" w:space="0" w:color="FFFFFF"/>
              <w:left w:val="single" w:sz="8" w:space="0" w:color="FFFFFF"/>
              <w:bottom w:val="single" w:sz="8" w:space="0" w:color="FFFFFF"/>
              <w:right w:val="single" w:sz="8" w:space="0" w:color="FFFFFF"/>
            </w:tcBorders>
            <w:shd w:val="clear" w:color="auto" w:fill="CBCBCB"/>
            <w:tcMar>
              <w:top w:w="80" w:type="dxa"/>
              <w:left w:w="140" w:type="dxa"/>
              <w:bottom w:w="80" w:type="dxa"/>
              <w:right w:w="140" w:type="dxa"/>
            </w:tcMar>
            <w:vAlign w:val="center"/>
            <w:hideMark/>
          </w:tcPr>
          <w:p w14:paraId="7F7D7AA2" w14:textId="77777777" w:rsidR="00D747F5" w:rsidRPr="00D747F5" w:rsidRDefault="00D747F5">
            <w:pPr>
              <w:spacing w:line="240" w:lineRule="auto"/>
              <w:jc w:val="both"/>
              <w:rPr>
                <w:rFonts w:ascii="Calibri" w:eastAsia="Times New Roman" w:hAnsi="Calibri" w:cs="Calibri"/>
                <w:color w:val="001A70" w:themeColor="accent1"/>
                <w:szCs w:val="20"/>
                <w:lang w:eastAsia="cs-CZ"/>
              </w:rPr>
            </w:pPr>
            <w:r w:rsidRPr="00D747F5">
              <w:rPr>
                <w:rFonts w:ascii="Calibri" w:eastAsia="Times New Roman" w:hAnsi="Calibri" w:cs="Calibri"/>
                <w:b/>
                <w:bCs/>
                <w:color w:val="001A70" w:themeColor="accent1"/>
                <w:szCs w:val="20"/>
                <w:lang w:eastAsia="cs-CZ"/>
              </w:rPr>
              <w:t>CZK 183 billion</w:t>
            </w:r>
          </w:p>
        </w:tc>
        <w:tc>
          <w:tcPr>
            <w:tcW w:w="0" w:type="auto"/>
            <w:tcBorders>
              <w:top w:val="single" w:sz="24" w:space="0" w:color="FFFFFF"/>
              <w:left w:val="single" w:sz="8" w:space="0" w:color="FFFFFF"/>
              <w:bottom w:val="single" w:sz="8" w:space="0" w:color="FFFFFF"/>
              <w:right w:val="single" w:sz="8" w:space="0" w:color="FFFFFF"/>
            </w:tcBorders>
            <w:shd w:val="clear" w:color="auto" w:fill="CBCBCB"/>
            <w:tcMar>
              <w:top w:w="80" w:type="dxa"/>
              <w:left w:w="140" w:type="dxa"/>
              <w:bottom w:w="80" w:type="dxa"/>
              <w:right w:w="140" w:type="dxa"/>
            </w:tcMar>
            <w:vAlign w:val="center"/>
            <w:hideMark/>
          </w:tcPr>
          <w:p w14:paraId="0BD6960F" w14:textId="77777777" w:rsidR="00D747F5" w:rsidRPr="00D747F5" w:rsidRDefault="00D747F5">
            <w:pPr>
              <w:spacing w:line="240" w:lineRule="auto"/>
              <w:jc w:val="both"/>
              <w:rPr>
                <w:rFonts w:ascii="Calibri" w:eastAsia="Times New Roman" w:hAnsi="Calibri" w:cs="Calibri"/>
                <w:color w:val="001A70" w:themeColor="accent1"/>
                <w:szCs w:val="20"/>
                <w:lang w:eastAsia="cs-CZ"/>
              </w:rPr>
            </w:pPr>
            <w:r w:rsidRPr="00D747F5">
              <w:rPr>
                <w:rFonts w:ascii="Calibri" w:eastAsia="Times New Roman" w:hAnsi="Calibri" w:cs="Calibri"/>
                <w:b/>
                <w:bCs/>
                <w:color w:val="001A70" w:themeColor="accent1"/>
                <w:szCs w:val="20"/>
                <w:lang w:eastAsia="cs-CZ"/>
              </w:rPr>
              <w:t>CZK 365 billion</w:t>
            </w:r>
          </w:p>
        </w:tc>
        <w:tc>
          <w:tcPr>
            <w:tcW w:w="0" w:type="auto"/>
            <w:tcBorders>
              <w:top w:val="single" w:sz="24" w:space="0" w:color="FFFFFF"/>
              <w:left w:val="single" w:sz="8" w:space="0" w:color="FFFFFF"/>
              <w:bottom w:val="single" w:sz="8" w:space="0" w:color="FFFFFF"/>
              <w:right w:val="single" w:sz="8" w:space="0" w:color="FFFFFF"/>
            </w:tcBorders>
            <w:shd w:val="clear" w:color="auto" w:fill="CBCBCB"/>
            <w:tcMar>
              <w:top w:w="80" w:type="dxa"/>
              <w:left w:w="140" w:type="dxa"/>
              <w:bottom w:w="80" w:type="dxa"/>
              <w:right w:w="140" w:type="dxa"/>
            </w:tcMar>
            <w:vAlign w:val="center"/>
            <w:hideMark/>
          </w:tcPr>
          <w:p w14:paraId="42478502" w14:textId="77777777" w:rsidR="00D747F5" w:rsidRPr="00D747F5" w:rsidRDefault="00D747F5">
            <w:pPr>
              <w:spacing w:line="240" w:lineRule="auto"/>
              <w:jc w:val="both"/>
              <w:rPr>
                <w:rFonts w:ascii="Calibri" w:eastAsia="Times New Roman" w:hAnsi="Calibri" w:cs="Calibri"/>
                <w:color w:val="001A70" w:themeColor="accent1"/>
                <w:szCs w:val="20"/>
                <w:lang w:eastAsia="cs-CZ"/>
              </w:rPr>
            </w:pPr>
            <w:r w:rsidRPr="00D747F5">
              <w:rPr>
                <w:rFonts w:ascii="Calibri" w:eastAsia="Times New Roman" w:hAnsi="Calibri" w:cs="Calibri"/>
                <w:b/>
                <w:bCs/>
                <w:color w:val="001A70" w:themeColor="accent1"/>
                <w:szCs w:val="20"/>
                <w:lang w:eastAsia="cs-CZ"/>
              </w:rPr>
              <w:t>CZK 548 billion</w:t>
            </w:r>
          </w:p>
        </w:tc>
        <w:tc>
          <w:tcPr>
            <w:tcW w:w="0" w:type="auto"/>
            <w:tcBorders>
              <w:top w:val="single" w:sz="24" w:space="0" w:color="FFFFFF"/>
              <w:left w:val="single" w:sz="8" w:space="0" w:color="FFFFFF"/>
              <w:bottom w:val="single" w:sz="8" w:space="0" w:color="FFFFFF"/>
              <w:right w:val="single" w:sz="8" w:space="0" w:color="FFFFFF"/>
            </w:tcBorders>
            <w:shd w:val="clear" w:color="auto" w:fill="CBCBCB"/>
            <w:tcMar>
              <w:top w:w="80" w:type="dxa"/>
              <w:left w:w="140" w:type="dxa"/>
              <w:bottom w:w="80" w:type="dxa"/>
              <w:right w:w="140" w:type="dxa"/>
            </w:tcMar>
            <w:vAlign w:val="center"/>
            <w:hideMark/>
          </w:tcPr>
          <w:p w14:paraId="4CC6631C" w14:textId="77777777" w:rsidR="00D747F5" w:rsidRPr="00D747F5" w:rsidRDefault="00D747F5">
            <w:pPr>
              <w:spacing w:line="240" w:lineRule="auto"/>
              <w:jc w:val="both"/>
              <w:rPr>
                <w:rFonts w:ascii="Calibri" w:eastAsia="Times New Roman" w:hAnsi="Calibri" w:cs="Calibri"/>
                <w:color w:val="001A70" w:themeColor="accent1"/>
                <w:szCs w:val="20"/>
                <w:lang w:eastAsia="cs-CZ"/>
              </w:rPr>
            </w:pPr>
            <w:r w:rsidRPr="00D747F5">
              <w:rPr>
                <w:rFonts w:ascii="Calibri" w:eastAsia="Times New Roman" w:hAnsi="Calibri" w:cs="Calibri"/>
                <w:b/>
                <w:bCs/>
                <w:color w:val="001A70" w:themeColor="accent1"/>
                <w:szCs w:val="20"/>
                <w:lang w:eastAsia="cs-CZ"/>
              </w:rPr>
              <w:t>CZK 731 billion</w:t>
            </w:r>
          </w:p>
        </w:tc>
      </w:tr>
    </w:tbl>
    <w:p w14:paraId="15068E93" w14:textId="77777777" w:rsidR="00D747F5" w:rsidRPr="00D747F5" w:rsidRDefault="00D747F5" w:rsidP="00D747F5">
      <w:pPr>
        <w:spacing w:before="60" w:after="240" w:line="240" w:lineRule="auto"/>
        <w:jc w:val="center"/>
        <w:rPr>
          <w:rFonts w:ascii="Calibri" w:hAnsi="Calibri" w:cs="Calibri"/>
          <w:color w:val="001A70" w:themeColor="accent1"/>
          <w:szCs w:val="20"/>
          <w:lang w:val="en-GB"/>
        </w:rPr>
      </w:pPr>
      <w:r w:rsidRPr="00D747F5">
        <w:rPr>
          <w:rFonts w:ascii="Calibri" w:hAnsi="Calibri" w:cs="Calibri"/>
          <w:color w:val="001A70" w:themeColor="accent1"/>
          <w:szCs w:val="20"/>
          <w:lang w:val="en-GB"/>
        </w:rPr>
        <w:t>Source: CETA calculations based on CSO data (input-output analysis)</w:t>
      </w:r>
    </w:p>
    <w:p w14:paraId="37985214" w14:textId="77777777" w:rsidR="00D747F5" w:rsidRPr="00D747F5" w:rsidRDefault="00D747F5" w:rsidP="00D747F5">
      <w:pPr>
        <w:spacing w:before="60" w:after="240" w:line="240" w:lineRule="auto"/>
        <w:jc w:val="both"/>
        <w:rPr>
          <w:rFonts w:ascii="Calibri" w:hAnsi="Calibri" w:cs="Calibri"/>
          <w:color w:val="001A70" w:themeColor="accent1"/>
          <w:szCs w:val="20"/>
          <w:lang w:val="en-GB"/>
        </w:rPr>
      </w:pPr>
      <w:r w:rsidRPr="00D747F5">
        <w:rPr>
          <w:rFonts w:ascii="Calibri" w:hAnsi="Calibri" w:cs="Calibri"/>
          <w:b/>
          <w:bCs/>
          <w:color w:val="001A70" w:themeColor="accent1"/>
          <w:szCs w:val="20"/>
          <w:lang w:val="en-GB"/>
        </w:rPr>
        <w:lastRenderedPageBreak/>
        <w:t>The question of the degree of involvement of Czech companies in the project is closely related to business opportunities abroad</w:t>
      </w:r>
      <w:r w:rsidRPr="00D747F5">
        <w:rPr>
          <w:rFonts w:ascii="Calibri" w:hAnsi="Calibri" w:cs="Calibri"/>
          <w:color w:val="001A70" w:themeColor="accent1"/>
          <w:szCs w:val="20"/>
          <w:lang w:val="en-GB"/>
        </w:rPr>
        <w:t>. Opportunities for involvement of Czech companies in similar projects in Europe should be taken into account.</w:t>
      </w:r>
    </w:p>
    <w:p w14:paraId="69919757" w14:textId="77777777" w:rsidR="00D747F5" w:rsidRPr="00D747F5" w:rsidRDefault="00D747F5" w:rsidP="00D747F5">
      <w:pPr>
        <w:spacing w:before="60" w:after="240" w:line="240" w:lineRule="auto"/>
        <w:jc w:val="both"/>
        <w:rPr>
          <w:rFonts w:ascii="Calibri" w:hAnsi="Calibri" w:cs="Calibri"/>
          <w:color w:val="001A70" w:themeColor="accent1"/>
          <w:szCs w:val="20"/>
          <w:lang w:val="en-GB"/>
        </w:rPr>
      </w:pPr>
      <w:r w:rsidRPr="00D747F5">
        <w:rPr>
          <w:rFonts w:ascii="Calibri" w:hAnsi="Calibri" w:cs="Calibri"/>
          <w:b/>
          <w:bCs/>
          <w:color w:val="001A70" w:themeColor="accent1"/>
          <w:szCs w:val="20"/>
          <w:lang w:val="en-GB"/>
        </w:rPr>
        <w:t>The positive contribution to regional education</w:t>
      </w:r>
      <w:r w:rsidRPr="00D747F5">
        <w:rPr>
          <w:rFonts w:ascii="Calibri" w:hAnsi="Calibri" w:cs="Calibri"/>
          <w:color w:val="001A70" w:themeColor="accent1"/>
          <w:szCs w:val="20"/>
          <w:lang w:val="en-GB"/>
        </w:rPr>
        <w:t xml:space="preserve"> is also seen as one of the main long-term benefits. Maximising the benefits of construction will therefore not only depend on the amount invested but also on indirect </w:t>
      </w:r>
      <w:r w:rsidRPr="00D747F5">
        <w:rPr>
          <w:rFonts w:ascii="Calibri" w:hAnsi="Calibri" w:cs="Calibri"/>
          <w:b/>
          <w:bCs/>
          <w:color w:val="001A70" w:themeColor="accent1"/>
          <w:szCs w:val="20"/>
          <w:lang w:val="en-GB"/>
        </w:rPr>
        <w:t>value created in human capacity building</w:t>
      </w:r>
      <w:r w:rsidRPr="00D747F5">
        <w:rPr>
          <w:rFonts w:ascii="Calibri" w:hAnsi="Calibri" w:cs="Calibri"/>
          <w:color w:val="001A70" w:themeColor="accent1"/>
          <w:szCs w:val="20"/>
          <w:lang w:val="en-GB"/>
        </w:rPr>
        <w:t xml:space="preserve">. The topic of education and training of human capacities is crucial for the success of the Czech nuclear programme, especially in view of the ongoing nuclear renaissance in many other European countries. </w:t>
      </w:r>
    </w:p>
    <w:p w14:paraId="1167C8CA" w14:textId="77777777" w:rsidR="00D747F5" w:rsidRPr="00D747F5" w:rsidRDefault="00D747F5" w:rsidP="00D747F5">
      <w:pPr>
        <w:spacing w:after="120" w:line="240" w:lineRule="auto"/>
        <w:jc w:val="both"/>
        <w:textAlignment w:val="baseline"/>
        <w:rPr>
          <w:rFonts w:ascii="Calibri" w:hAnsi="Calibri" w:cs="Calibri"/>
          <w:color w:val="001A70" w:themeColor="accent1"/>
          <w:szCs w:val="20"/>
          <w:lang w:val="en-GB"/>
        </w:rPr>
      </w:pPr>
      <w:r w:rsidRPr="00D747F5">
        <w:rPr>
          <w:rFonts w:ascii="Calibri" w:hAnsi="Calibri" w:cs="Calibri"/>
          <w:b/>
          <w:bCs/>
          <w:color w:val="001A70" w:themeColor="accent1"/>
          <w:szCs w:val="20"/>
          <w:lang w:val="en-GB"/>
        </w:rPr>
        <w:t>The Czech Republic will need thousands of highly skilled human resources</w:t>
      </w:r>
      <w:r w:rsidRPr="00D747F5">
        <w:rPr>
          <w:rFonts w:ascii="Calibri" w:hAnsi="Calibri" w:cs="Calibri"/>
          <w:color w:val="001A70" w:themeColor="accent1"/>
          <w:szCs w:val="20"/>
          <w:lang w:val="en-GB"/>
        </w:rPr>
        <w:t xml:space="preserve"> - the construction of one reactor is estimated to require approximately five thousand people at the peak of construction. To have a positive socio-economic effect, it is necessary to ensure that a </w:t>
      </w:r>
      <w:r w:rsidRPr="00D747F5">
        <w:rPr>
          <w:rFonts w:ascii="Calibri" w:hAnsi="Calibri" w:cs="Calibri"/>
          <w:b/>
          <w:bCs/>
          <w:color w:val="001A70" w:themeColor="accent1"/>
          <w:szCs w:val="20"/>
          <w:lang w:val="en-GB"/>
        </w:rPr>
        <w:t>largest proportion as possible is made up residents of the Czech Republic, rather than experts or short-term workers hired from abroad.</w:t>
      </w:r>
      <w:r w:rsidRPr="00D747F5">
        <w:rPr>
          <w:rFonts w:ascii="Calibri" w:hAnsi="Calibri" w:cs="Calibri"/>
          <w:color w:val="001A70" w:themeColor="accent1"/>
          <w:szCs w:val="20"/>
          <w:lang w:val="en-GB"/>
        </w:rPr>
        <w:t xml:space="preserve"> </w:t>
      </w:r>
    </w:p>
    <w:p w14:paraId="098EE9DC" w14:textId="0ED6792D" w:rsidR="00E67F83" w:rsidRDefault="00E67F83" w:rsidP="00D747F5">
      <w:pPr>
        <w:pStyle w:val="Titrepage"/>
        <w:rPr>
          <w:rFonts w:ascii="Calibri" w:hAnsi="Calibri" w:cs="Calibri"/>
          <w:szCs w:val="28"/>
        </w:rPr>
      </w:pPr>
      <w:r>
        <w:rPr>
          <w:rFonts w:ascii="Calibri" w:hAnsi="Calibri" w:cs="Calibri"/>
          <w:szCs w:val="28"/>
        </w:rPr>
        <w:t xml:space="preserve">Striving for </w:t>
      </w:r>
      <w:r w:rsidR="00381C8B">
        <w:rPr>
          <w:rFonts w:ascii="Calibri" w:hAnsi="Calibri" w:cs="Calibri"/>
          <w:szCs w:val="28"/>
        </w:rPr>
        <w:t>long-term</w:t>
      </w:r>
      <w:r>
        <w:rPr>
          <w:rFonts w:ascii="Calibri" w:hAnsi="Calibri" w:cs="Calibri"/>
          <w:szCs w:val="28"/>
        </w:rPr>
        <w:t xml:space="preserve"> and sustainable development in South Moravia and  </w:t>
      </w:r>
      <w:proofErr w:type="spellStart"/>
      <w:r w:rsidRPr="00E67F83">
        <w:rPr>
          <w:rFonts w:ascii="Calibri" w:hAnsi="Calibri" w:cs="Calibri"/>
          <w:szCs w:val="28"/>
        </w:rPr>
        <w:t>Vysočina</w:t>
      </w:r>
      <w:proofErr w:type="spellEnd"/>
    </w:p>
    <w:p w14:paraId="0CA305B8" w14:textId="3DF52E8D" w:rsidR="00E67F83" w:rsidRPr="00E67F83" w:rsidRDefault="00E67F83" w:rsidP="00E67F83">
      <w:pPr>
        <w:pStyle w:val="NormalWeb"/>
        <w:rPr>
          <w:rFonts w:ascii="Calibri" w:eastAsiaTheme="minorHAnsi" w:hAnsi="Calibri" w:cs="Calibri"/>
          <w:color w:val="001A70" w:themeColor="accent1"/>
          <w:sz w:val="20"/>
          <w:szCs w:val="20"/>
          <w:lang w:val="en-GB" w:eastAsia="en-US"/>
        </w:rPr>
      </w:pPr>
      <w:r w:rsidRPr="00E67F83">
        <w:rPr>
          <w:rFonts w:ascii="Calibri" w:eastAsiaTheme="minorHAnsi" w:hAnsi="Calibri" w:cs="Calibri"/>
          <w:color w:val="001A70" w:themeColor="accent1"/>
          <w:sz w:val="20"/>
          <w:szCs w:val="20"/>
          <w:lang w:val="en-GB" w:eastAsia="en-US"/>
        </w:rPr>
        <w:t xml:space="preserve">EDF is committed to fostering </w:t>
      </w:r>
      <w:r w:rsidRPr="00E67F83">
        <w:rPr>
          <w:rFonts w:ascii="Calibri" w:eastAsiaTheme="minorHAnsi" w:hAnsi="Calibri" w:cs="Calibri"/>
          <w:b/>
          <w:bCs/>
          <w:color w:val="001A70" w:themeColor="accent1"/>
          <w:sz w:val="20"/>
          <w:szCs w:val="20"/>
          <w:lang w:val="en-GB" w:eastAsia="en-US"/>
        </w:rPr>
        <w:t>social and economic benefits for the regions of South Moravia and Vysočina</w:t>
      </w:r>
      <w:r w:rsidRPr="00E67F83">
        <w:rPr>
          <w:rFonts w:ascii="Calibri" w:eastAsiaTheme="minorHAnsi" w:hAnsi="Calibri" w:cs="Calibri"/>
          <w:color w:val="001A70" w:themeColor="accent1"/>
          <w:sz w:val="20"/>
          <w:szCs w:val="20"/>
          <w:lang w:val="en-GB" w:eastAsia="en-US"/>
        </w:rPr>
        <w:t xml:space="preserve"> as part of our proposal for the Czech New Nuclear Programme. This commitment is a cornerstone of our strategy, aimed at ensuring the success of the construction phases of two new nuclear power plants, should EDF be selected as the preferred bidder</w:t>
      </w:r>
      <w:r w:rsidR="00D64A8D">
        <w:rPr>
          <w:rFonts w:ascii="Calibri" w:eastAsiaTheme="minorHAnsi" w:hAnsi="Calibri" w:cs="Calibri"/>
          <w:color w:val="001A70" w:themeColor="accent1"/>
          <w:sz w:val="20"/>
          <w:szCs w:val="20"/>
          <w:lang w:val="en-GB" w:eastAsia="en-US"/>
        </w:rPr>
        <w:t xml:space="preserve"> for the construction of a fleet of reactors in Czechia</w:t>
      </w:r>
      <w:r w:rsidRPr="00E67F83">
        <w:rPr>
          <w:rFonts w:ascii="Calibri" w:eastAsiaTheme="minorHAnsi" w:hAnsi="Calibri" w:cs="Calibri"/>
          <w:color w:val="001A70" w:themeColor="accent1"/>
          <w:sz w:val="20"/>
          <w:szCs w:val="20"/>
          <w:lang w:val="en-GB" w:eastAsia="en-US"/>
        </w:rPr>
        <w:t>.</w:t>
      </w:r>
    </w:p>
    <w:p w14:paraId="651F1718" w14:textId="0B56B5C3" w:rsidR="00E67F83" w:rsidRPr="00E67F83" w:rsidRDefault="00B76C8B" w:rsidP="00E67F83">
      <w:pPr>
        <w:pStyle w:val="NormalWeb"/>
        <w:rPr>
          <w:rFonts w:ascii="Calibri" w:eastAsiaTheme="minorHAnsi" w:hAnsi="Calibri" w:cs="Calibri"/>
          <w:color w:val="001A70" w:themeColor="accent1"/>
          <w:sz w:val="20"/>
          <w:szCs w:val="20"/>
          <w:lang w:val="en-GB" w:eastAsia="en-US"/>
        </w:rPr>
      </w:pPr>
      <w:r>
        <w:rPr>
          <w:rFonts w:ascii="Calibri" w:eastAsiaTheme="minorHAnsi" w:hAnsi="Calibri" w:cs="Calibri"/>
          <w:color w:val="001A70" w:themeColor="accent1"/>
          <w:sz w:val="20"/>
          <w:szCs w:val="20"/>
          <w:lang w:val="en-GB" w:eastAsia="en-US"/>
        </w:rPr>
        <w:t>EDF’s ambition is to formalise of a strong and balanced</w:t>
      </w:r>
      <w:r w:rsidR="00E67F83" w:rsidRPr="00E67F83">
        <w:rPr>
          <w:rFonts w:ascii="Calibri" w:eastAsiaTheme="minorHAnsi" w:hAnsi="Calibri" w:cs="Calibri"/>
          <w:color w:val="001A70" w:themeColor="accent1"/>
          <w:sz w:val="20"/>
          <w:szCs w:val="20"/>
          <w:lang w:val="en-GB" w:eastAsia="en-US"/>
        </w:rPr>
        <w:t xml:space="preserve"> relationship with regional stakeholders based on the principles of </w:t>
      </w:r>
      <w:r w:rsidR="00E67F83" w:rsidRPr="00B76C8B">
        <w:rPr>
          <w:rFonts w:ascii="Calibri" w:eastAsiaTheme="minorHAnsi" w:hAnsi="Calibri" w:cs="Calibri"/>
          <w:b/>
          <w:bCs/>
          <w:color w:val="001A70" w:themeColor="accent1"/>
          <w:sz w:val="20"/>
          <w:szCs w:val="20"/>
          <w:lang w:val="en-GB" w:eastAsia="en-US"/>
        </w:rPr>
        <w:t>respect, excellence, solidarity, and openness</w:t>
      </w:r>
      <w:r w:rsidR="00E67F83" w:rsidRPr="00E67F83">
        <w:rPr>
          <w:rFonts w:ascii="Calibri" w:eastAsiaTheme="minorHAnsi" w:hAnsi="Calibri" w:cs="Calibri"/>
          <w:color w:val="001A70" w:themeColor="accent1"/>
          <w:sz w:val="20"/>
          <w:szCs w:val="20"/>
          <w:lang w:val="en-GB" w:eastAsia="en-US"/>
        </w:rPr>
        <w:t xml:space="preserve">. By sharing consistent information and engaging with all </w:t>
      </w:r>
      <w:r>
        <w:rPr>
          <w:rFonts w:ascii="Calibri" w:eastAsiaTheme="minorHAnsi" w:hAnsi="Calibri" w:cs="Calibri"/>
          <w:color w:val="001A70" w:themeColor="accent1"/>
          <w:sz w:val="20"/>
          <w:szCs w:val="20"/>
          <w:lang w:val="en-GB" w:eastAsia="en-US"/>
        </w:rPr>
        <w:t xml:space="preserve">local </w:t>
      </w:r>
      <w:r w:rsidR="00E67F83" w:rsidRPr="00E67F83">
        <w:rPr>
          <w:rFonts w:ascii="Calibri" w:eastAsiaTheme="minorHAnsi" w:hAnsi="Calibri" w:cs="Calibri"/>
          <w:color w:val="001A70" w:themeColor="accent1"/>
          <w:sz w:val="20"/>
          <w:szCs w:val="20"/>
          <w:lang w:val="en-GB" w:eastAsia="en-US"/>
        </w:rPr>
        <w:t xml:space="preserve">stakeholders, we aim to establish a foundation for cooperation that supports </w:t>
      </w:r>
      <w:r w:rsidR="00E67F83" w:rsidRPr="00B76C8B">
        <w:rPr>
          <w:rFonts w:ascii="Calibri" w:eastAsiaTheme="minorHAnsi" w:hAnsi="Calibri" w:cs="Calibri"/>
          <w:b/>
          <w:bCs/>
          <w:color w:val="001A70" w:themeColor="accent1"/>
          <w:sz w:val="20"/>
          <w:szCs w:val="20"/>
          <w:lang w:val="en-GB" w:eastAsia="en-US"/>
        </w:rPr>
        <w:t>sustainable local growth during the construction phase</w:t>
      </w:r>
      <w:r>
        <w:rPr>
          <w:rFonts w:ascii="Calibri" w:eastAsiaTheme="minorHAnsi" w:hAnsi="Calibri" w:cs="Calibri"/>
          <w:color w:val="001A70" w:themeColor="accent1"/>
          <w:sz w:val="20"/>
          <w:szCs w:val="20"/>
          <w:lang w:val="en-GB" w:eastAsia="en-US"/>
        </w:rPr>
        <w:t xml:space="preserve"> of the </w:t>
      </w:r>
      <w:r w:rsidR="00B95881">
        <w:rPr>
          <w:rFonts w:ascii="Calibri" w:eastAsiaTheme="minorHAnsi" w:hAnsi="Calibri" w:cs="Calibri"/>
          <w:color w:val="001A70" w:themeColor="accent1"/>
          <w:sz w:val="20"/>
          <w:szCs w:val="20"/>
          <w:lang w:val="en-GB" w:eastAsia="en-US"/>
        </w:rPr>
        <w:t>power plant projects</w:t>
      </w:r>
      <w:r w:rsidR="00E67F83" w:rsidRPr="00E67F83">
        <w:rPr>
          <w:rFonts w:ascii="Calibri" w:eastAsiaTheme="minorHAnsi" w:hAnsi="Calibri" w:cs="Calibri"/>
          <w:color w:val="001A70" w:themeColor="accent1"/>
          <w:sz w:val="20"/>
          <w:szCs w:val="20"/>
          <w:lang w:val="en-GB" w:eastAsia="en-US"/>
        </w:rPr>
        <w:t xml:space="preserve">. This includes the </w:t>
      </w:r>
      <w:r w:rsidR="00E67F83" w:rsidRPr="00B95881">
        <w:rPr>
          <w:rFonts w:ascii="Calibri" w:eastAsiaTheme="minorHAnsi" w:hAnsi="Calibri" w:cs="Calibri"/>
          <w:b/>
          <w:bCs/>
          <w:color w:val="001A70" w:themeColor="accent1"/>
          <w:sz w:val="20"/>
          <w:szCs w:val="20"/>
          <w:lang w:val="en-GB" w:eastAsia="en-US"/>
        </w:rPr>
        <w:t>development of local infrastructure</w:t>
      </w:r>
      <w:r w:rsidR="00E67F83" w:rsidRPr="00E67F83">
        <w:rPr>
          <w:rFonts w:ascii="Calibri" w:eastAsiaTheme="minorHAnsi" w:hAnsi="Calibri" w:cs="Calibri"/>
          <w:color w:val="001A70" w:themeColor="accent1"/>
          <w:sz w:val="20"/>
          <w:szCs w:val="20"/>
          <w:lang w:val="en-GB" w:eastAsia="en-US"/>
        </w:rPr>
        <w:t xml:space="preserve">, </w:t>
      </w:r>
      <w:r w:rsidR="00B95881" w:rsidRPr="00B95881">
        <w:rPr>
          <w:rFonts w:ascii="Calibri" w:eastAsiaTheme="minorHAnsi" w:hAnsi="Calibri" w:cs="Calibri"/>
          <w:b/>
          <w:bCs/>
          <w:color w:val="001A70" w:themeColor="accent1"/>
          <w:sz w:val="20"/>
          <w:szCs w:val="20"/>
          <w:lang w:val="en-GB" w:eastAsia="en-US"/>
        </w:rPr>
        <w:t>working with local companies</w:t>
      </w:r>
      <w:r w:rsidR="00E67F83" w:rsidRPr="00E67F83">
        <w:rPr>
          <w:rFonts w:ascii="Calibri" w:eastAsiaTheme="minorHAnsi" w:hAnsi="Calibri" w:cs="Calibri"/>
          <w:color w:val="001A70" w:themeColor="accent1"/>
          <w:sz w:val="20"/>
          <w:szCs w:val="20"/>
          <w:lang w:val="en-GB" w:eastAsia="en-US"/>
        </w:rPr>
        <w:t xml:space="preserve">, and enhancements in </w:t>
      </w:r>
      <w:r w:rsidR="00E67F83" w:rsidRPr="00B95881">
        <w:rPr>
          <w:rFonts w:ascii="Calibri" w:eastAsiaTheme="minorHAnsi" w:hAnsi="Calibri" w:cs="Calibri"/>
          <w:b/>
          <w:bCs/>
          <w:color w:val="001A70" w:themeColor="accent1"/>
          <w:sz w:val="20"/>
          <w:szCs w:val="20"/>
          <w:lang w:val="en-GB" w:eastAsia="en-US"/>
        </w:rPr>
        <w:t>educational, cultural, and social services</w:t>
      </w:r>
      <w:r w:rsidR="00E67F83" w:rsidRPr="00E67F83">
        <w:rPr>
          <w:rFonts w:ascii="Calibri" w:eastAsiaTheme="minorHAnsi" w:hAnsi="Calibri" w:cs="Calibri"/>
          <w:color w:val="001A70" w:themeColor="accent1"/>
          <w:sz w:val="20"/>
          <w:szCs w:val="20"/>
          <w:lang w:val="en-GB" w:eastAsia="en-US"/>
        </w:rPr>
        <w:t>.</w:t>
      </w:r>
    </w:p>
    <w:p w14:paraId="3E615C2D" w14:textId="59AC2D92" w:rsidR="00E67F83" w:rsidRPr="00381C8B" w:rsidRDefault="00B95881" w:rsidP="00381C8B">
      <w:pPr>
        <w:pStyle w:val="NormalWeb"/>
        <w:rPr>
          <w:rFonts w:ascii="Calibri" w:eastAsiaTheme="minorHAnsi" w:hAnsi="Calibri" w:cs="Calibri"/>
          <w:color w:val="001A70" w:themeColor="accent1"/>
          <w:sz w:val="20"/>
          <w:szCs w:val="20"/>
          <w:lang w:val="en-GB" w:eastAsia="en-US"/>
        </w:rPr>
      </w:pPr>
      <w:r>
        <w:rPr>
          <w:rFonts w:ascii="Calibri" w:eastAsiaTheme="minorHAnsi" w:hAnsi="Calibri" w:cs="Calibri"/>
          <w:color w:val="001A70" w:themeColor="accent1"/>
          <w:sz w:val="20"/>
          <w:szCs w:val="20"/>
          <w:lang w:val="en-GB" w:eastAsia="en-US"/>
        </w:rPr>
        <w:t xml:space="preserve">EDF </w:t>
      </w:r>
      <w:r w:rsidR="00262D4E">
        <w:rPr>
          <w:rFonts w:ascii="Calibri" w:eastAsiaTheme="minorHAnsi" w:hAnsi="Calibri" w:cs="Calibri"/>
          <w:color w:val="001A70" w:themeColor="accent1"/>
          <w:sz w:val="20"/>
          <w:szCs w:val="20"/>
          <w:lang w:val="en-GB" w:eastAsia="en-US"/>
        </w:rPr>
        <w:t xml:space="preserve">will </w:t>
      </w:r>
      <w:r w:rsidR="00381C8B">
        <w:rPr>
          <w:rFonts w:ascii="Calibri" w:eastAsiaTheme="minorHAnsi" w:hAnsi="Calibri" w:cs="Calibri"/>
          <w:color w:val="001A70" w:themeColor="accent1"/>
          <w:sz w:val="20"/>
          <w:szCs w:val="20"/>
          <w:lang w:val="en-GB" w:eastAsia="en-US"/>
        </w:rPr>
        <w:t>propose to</w:t>
      </w:r>
      <w:r w:rsidR="00E67F83" w:rsidRPr="00E67F83">
        <w:rPr>
          <w:rFonts w:ascii="Calibri" w:eastAsiaTheme="minorHAnsi" w:hAnsi="Calibri" w:cs="Calibri"/>
          <w:color w:val="001A70" w:themeColor="accent1"/>
          <w:sz w:val="20"/>
          <w:szCs w:val="20"/>
          <w:lang w:val="en-GB" w:eastAsia="en-US"/>
        </w:rPr>
        <w:t xml:space="preserve"> local authorities, associations, and citizens to </w:t>
      </w:r>
      <w:r w:rsidR="00381C8B">
        <w:rPr>
          <w:rFonts w:ascii="Calibri" w:eastAsiaTheme="minorHAnsi" w:hAnsi="Calibri" w:cs="Calibri"/>
          <w:color w:val="001A70" w:themeColor="accent1"/>
          <w:sz w:val="20"/>
          <w:szCs w:val="20"/>
          <w:lang w:val="en-GB" w:eastAsia="en-US"/>
        </w:rPr>
        <w:t xml:space="preserve">work together to </w:t>
      </w:r>
      <w:r w:rsidR="00E67F83" w:rsidRPr="00E67F83">
        <w:rPr>
          <w:rFonts w:ascii="Calibri" w:eastAsiaTheme="minorHAnsi" w:hAnsi="Calibri" w:cs="Calibri"/>
          <w:color w:val="001A70" w:themeColor="accent1"/>
          <w:sz w:val="20"/>
          <w:szCs w:val="20"/>
          <w:lang w:val="en-GB" w:eastAsia="en-US"/>
        </w:rPr>
        <w:t xml:space="preserve">identify </w:t>
      </w:r>
      <w:r w:rsidR="00E67F83" w:rsidRPr="00381C8B">
        <w:rPr>
          <w:rFonts w:ascii="Calibri" w:eastAsiaTheme="minorHAnsi" w:hAnsi="Calibri" w:cs="Calibri"/>
          <w:b/>
          <w:bCs/>
          <w:color w:val="001A70" w:themeColor="accent1"/>
          <w:sz w:val="20"/>
          <w:szCs w:val="20"/>
          <w:lang w:val="en-GB" w:eastAsia="en-US"/>
        </w:rPr>
        <w:t>initiatives that promote social development, particularly targeting the youth through educational and sporting programs</w:t>
      </w:r>
      <w:r w:rsidR="00E67F83" w:rsidRPr="00E67F83">
        <w:rPr>
          <w:rFonts w:ascii="Calibri" w:eastAsiaTheme="minorHAnsi" w:hAnsi="Calibri" w:cs="Calibri"/>
          <w:color w:val="001A70" w:themeColor="accent1"/>
          <w:sz w:val="20"/>
          <w:szCs w:val="20"/>
          <w:lang w:val="en-GB" w:eastAsia="en-US"/>
        </w:rPr>
        <w:t xml:space="preserve">. </w:t>
      </w:r>
      <w:r w:rsidR="00381C8B">
        <w:rPr>
          <w:rFonts w:ascii="Calibri" w:eastAsiaTheme="minorHAnsi" w:hAnsi="Calibri" w:cs="Calibri"/>
          <w:color w:val="001A70" w:themeColor="accent1"/>
          <w:sz w:val="20"/>
          <w:szCs w:val="20"/>
          <w:lang w:val="en-GB" w:eastAsia="en-US"/>
        </w:rPr>
        <w:t>EDF</w:t>
      </w:r>
      <w:r w:rsidR="00E67F83" w:rsidRPr="00E67F83">
        <w:rPr>
          <w:rFonts w:ascii="Calibri" w:eastAsiaTheme="minorHAnsi" w:hAnsi="Calibri" w:cs="Calibri"/>
          <w:color w:val="001A70" w:themeColor="accent1"/>
          <w:sz w:val="20"/>
          <w:szCs w:val="20"/>
          <w:lang w:val="en-GB" w:eastAsia="en-US"/>
        </w:rPr>
        <w:t xml:space="preserve"> recogni</w:t>
      </w:r>
      <w:r w:rsidR="00381C8B">
        <w:rPr>
          <w:rFonts w:ascii="Calibri" w:eastAsiaTheme="minorHAnsi" w:hAnsi="Calibri" w:cs="Calibri"/>
          <w:color w:val="001A70" w:themeColor="accent1"/>
          <w:sz w:val="20"/>
          <w:szCs w:val="20"/>
          <w:lang w:val="en-GB" w:eastAsia="en-US"/>
        </w:rPr>
        <w:t>s</w:t>
      </w:r>
      <w:r w:rsidR="00E67F83" w:rsidRPr="00E67F83">
        <w:rPr>
          <w:rFonts w:ascii="Calibri" w:eastAsiaTheme="minorHAnsi" w:hAnsi="Calibri" w:cs="Calibri"/>
          <w:color w:val="001A70" w:themeColor="accent1"/>
          <w:sz w:val="20"/>
          <w:szCs w:val="20"/>
          <w:lang w:val="en-GB" w:eastAsia="en-US"/>
        </w:rPr>
        <w:t>e</w:t>
      </w:r>
      <w:r w:rsidR="00381C8B">
        <w:rPr>
          <w:rFonts w:ascii="Calibri" w:eastAsiaTheme="minorHAnsi" w:hAnsi="Calibri" w:cs="Calibri"/>
          <w:color w:val="001A70" w:themeColor="accent1"/>
          <w:sz w:val="20"/>
          <w:szCs w:val="20"/>
          <w:lang w:val="en-GB" w:eastAsia="en-US"/>
        </w:rPr>
        <w:t>s</w:t>
      </w:r>
      <w:r w:rsidR="00E67F83" w:rsidRPr="00E67F83">
        <w:rPr>
          <w:rFonts w:ascii="Calibri" w:eastAsiaTheme="minorHAnsi" w:hAnsi="Calibri" w:cs="Calibri"/>
          <w:color w:val="001A70" w:themeColor="accent1"/>
          <w:sz w:val="20"/>
          <w:szCs w:val="20"/>
          <w:lang w:val="en-GB" w:eastAsia="en-US"/>
        </w:rPr>
        <w:t xml:space="preserve"> the importance of integrating the local communities into the project's lifecycle and are dedicated to mitigating any negative impacts on local populations.</w:t>
      </w:r>
    </w:p>
    <w:p w14:paraId="17DFE5FA" w14:textId="1EF71FE2" w:rsidR="00D747F5" w:rsidRPr="00B06A39" w:rsidRDefault="00D747F5" w:rsidP="00D747F5">
      <w:pPr>
        <w:pStyle w:val="Titrepage"/>
        <w:rPr>
          <w:rFonts w:ascii="Calibri" w:hAnsi="Calibri" w:cs="Calibri"/>
          <w:szCs w:val="28"/>
        </w:rPr>
      </w:pPr>
      <w:r w:rsidRPr="00B06A39">
        <w:rPr>
          <w:rFonts w:ascii="Calibri" w:hAnsi="Calibri" w:cs="Calibri"/>
          <w:szCs w:val="28"/>
        </w:rPr>
        <w:t>EDF’s EPR1200 technology: Integrated, European, Independent</w:t>
      </w:r>
      <w:bookmarkStart w:id="1" w:name="_Hlk105938935"/>
    </w:p>
    <w:p w14:paraId="03865A1A" w14:textId="77777777" w:rsidR="00D747F5" w:rsidRPr="00B06A39" w:rsidRDefault="00D747F5" w:rsidP="00D747F5">
      <w:pPr>
        <w:pStyle w:val="Textecourant"/>
        <w:rPr>
          <w:rFonts w:ascii="Calibri" w:hAnsi="Calibri" w:cs="Calibri"/>
          <w:szCs w:val="20"/>
          <w:lang w:val="en-GB"/>
        </w:rPr>
      </w:pPr>
      <w:r w:rsidRPr="00B06A39">
        <w:rPr>
          <w:rFonts w:ascii="Calibri" w:hAnsi="Calibri" w:cs="Calibri"/>
          <w:szCs w:val="20"/>
          <w:lang w:val="en-GB"/>
        </w:rPr>
        <w:t xml:space="preserve">The proposed EPR1200 technology is a </w:t>
      </w:r>
      <w:r w:rsidRPr="00B06A39">
        <w:rPr>
          <w:rFonts w:ascii="Calibri" w:hAnsi="Calibri" w:cs="Calibri"/>
          <w:b/>
          <w:bCs/>
          <w:szCs w:val="20"/>
          <w:lang w:val="en-GB"/>
        </w:rPr>
        <w:t>1200MW Generation 3+ pressurised nuclear water reactor</w:t>
      </w:r>
      <w:r w:rsidRPr="00B06A39">
        <w:rPr>
          <w:rFonts w:ascii="Calibri" w:hAnsi="Calibri" w:cs="Calibri"/>
          <w:szCs w:val="20"/>
          <w:lang w:val="en-GB"/>
        </w:rPr>
        <w:t xml:space="preserve"> designed to meet the most </w:t>
      </w:r>
      <w:r w:rsidRPr="00B06A39">
        <w:rPr>
          <w:rFonts w:ascii="Calibri" w:hAnsi="Calibri" w:cs="Calibri"/>
          <w:b/>
          <w:bCs/>
          <w:szCs w:val="20"/>
          <w:lang w:val="en-GB"/>
        </w:rPr>
        <w:t>stringent safety and performance requirements in Europe</w:t>
      </w:r>
      <w:r w:rsidRPr="00B06A39">
        <w:rPr>
          <w:rFonts w:ascii="Calibri" w:hAnsi="Calibri" w:cs="Calibri"/>
          <w:szCs w:val="20"/>
          <w:lang w:val="en-GB"/>
        </w:rPr>
        <w:t>.</w:t>
      </w:r>
    </w:p>
    <w:p w14:paraId="543B4659" w14:textId="77777777" w:rsidR="00D747F5" w:rsidRPr="00B06A39" w:rsidRDefault="00D747F5" w:rsidP="00D747F5">
      <w:pPr>
        <w:pStyle w:val="Textecourant"/>
        <w:rPr>
          <w:rFonts w:ascii="Calibri" w:hAnsi="Calibri" w:cs="Calibri"/>
          <w:szCs w:val="20"/>
          <w:lang w:val="en-GB"/>
        </w:rPr>
      </w:pPr>
    </w:p>
    <w:p w14:paraId="0106B94D" w14:textId="77777777" w:rsidR="00D747F5" w:rsidRPr="00B06A39" w:rsidRDefault="00D747F5" w:rsidP="00D747F5">
      <w:pPr>
        <w:pStyle w:val="Textecourant"/>
        <w:numPr>
          <w:ilvl w:val="0"/>
          <w:numId w:val="25"/>
        </w:numPr>
        <w:rPr>
          <w:rFonts w:ascii="Calibri" w:hAnsi="Calibri" w:cs="Calibri"/>
          <w:szCs w:val="20"/>
          <w:lang w:val="en-GB"/>
        </w:rPr>
      </w:pPr>
      <w:r w:rsidRPr="00B06A39">
        <w:rPr>
          <w:rFonts w:ascii="Calibri" w:hAnsi="Calibri" w:cs="Calibri"/>
          <w:szCs w:val="20"/>
          <w:lang w:val="en-GB"/>
        </w:rPr>
        <w:t xml:space="preserve">EPR1200 benefits from the </w:t>
      </w:r>
      <w:r w:rsidRPr="00B06A39">
        <w:rPr>
          <w:rFonts w:ascii="Calibri" w:hAnsi="Calibri" w:cs="Calibri"/>
          <w:b/>
          <w:bCs/>
          <w:szCs w:val="20"/>
          <w:lang w:val="en-GB"/>
        </w:rPr>
        <w:t>same safety referential as EDF’s EPR2 technology</w:t>
      </w:r>
      <w:r w:rsidRPr="00B06A39">
        <w:rPr>
          <w:rFonts w:ascii="Calibri" w:hAnsi="Calibri" w:cs="Calibri"/>
          <w:szCs w:val="20"/>
          <w:lang w:val="en-GB"/>
        </w:rPr>
        <w:t>, which fully incorporates operational and safety requirements defined by the AIEA, WENRA and French Nuclear Regulator (ASN), and passes post-Fukushima stress tests.</w:t>
      </w:r>
    </w:p>
    <w:p w14:paraId="79FF60D6" w14:textId="77777777" w:rsidR="00D747F5" w:rsidRPr="00B06A39" w:rsidRDefault="00D747F5" w:rsidP="00D747F5">
      <w:pPr>
        <w:pStyle w:val="Textecourant"/>
        <w:numPr>
          <w:ilvl w:val="0"/>
          <w:numId w:val="25"/>
        </w:numPr>
        <w:rPr>
          <w:rFonts w:ascii="Calibri" w:hAnsi="Calibri" w:cs="Calibri"/>
          <w:b/>
          <w:bCs/>
          <w:szCs w:val="20"/>
          <w:lang w:val="en-GB"/>
        </w:rPr>
      </w:pPr>
      <w:r w:rsidRPr="00B06A39">
        <w:rPr>
          <w:rFonts w:ascii="Calibri" w:hAnsi="Calibri" w:cs="Calibri"/>
          <w:szCs w:val="20"/>
          <w:lang w:val="en-GB"/>
        </w:rPr>
        <w:t xml:space="preserve">EPR1200 takes into account EPR2 design evolutions as well as </w:t>
      </w:r>
      <w:r w:rsidRPr="00B06A39">
        <w:rPr>
          <w:rFonts w:ascii="Calibri" w:hAnsi="Calibri" w:cs="Calibri"/>
          <w:b/>
          <w:bCs/>
          <w:szCs w:val="20"/>
          <w:lang w:val="en-GB"/>
        </w:rPr>
        <w:t>construction and operation feedback from all current EPR projects.</w:t>
      </w:r>
    </w:p>
    <w:p w14:paraId="5532F5D7" w14:textId="77777777" w:rsidR="00D747F5" w:rsidRPr="00B06A39" w:rsidRDefault="00D747F5" w:rsidP="00D747F5">
      <w:pPr>
        <w:pStyle w:val="Textecourant"/>
        <w:numPr>
          <w:ilvl w:val="0"/>
          <w:numId w:val="25"/>
        </w:numPr>
        <w:rPr>
          <w:rFonts w:ascii="Calibri" w:hAnsi="Calibri" w:cs="Calibri"/>
          <w:szCs w:val="20"/>
          <w:lang w:val="en-GB"/>
        </w:rPr>
      </w:pPr>
      <w:r w:rsidRPr="00B06A39">
        <w:rPr>
          <w:rFonts w:ascii="Calibri" w:hAnsi="Calibri" w:cs="Calibri"/>
          <w:szCs w:val="20"/>
          <w:lang w:val="en-GB"/>
        </w:rPr>
        <w:t xml:space="preserve">All major design options of EPR1200 have been </w:t>
      </w:r>
      <w:r w:rsidRPr="00B06A39">
        <w:rPr>
          <w:rFonts w:ascii="Calibri" w:hAnsi="Calibri" w:cs="Calibri"/>
          <w:b/>
          <w:bCs/>
          <w:szCs w:val="20"/>
          <w:lang w:val="en-GB"/>
        </w:rPr>
        <w:t>reviewed and accepted by the French Nuclear Regulator</w:t>
      </w:r>
    </w:p>
    <w:p w14:paraId="1F0E277A" w14:textId="77777777" w:rsidR="00D747F5" w:rsidRPr="00B06A39" w:rsidRDefault="00D747F5" w:rsidP="00D747F5">
      <w:pPr>
        <w:pStyle w:val="Textecourant"/>
        <w:numPr>
          <w:ilvl w:val="0"/>
          <w:numId w:val="25"/>
        </w:numPr>
        <w:rPr>
          <w:rFonts w:ascii="Calibri" w:hAnsi="Calibri" w:cs="Calibri"/>
          <w:szCs w:val="20"/>
          <w:lang w:val="en-GB"/>
        </w:rPr>
      </w:pPr>
      <w:r w:rsidRPr="00B06A39">
        <w:rPr>
          <w:rFonts w:ascii="Calibri" w:hAnsi="Calibri" w:cs="Calibri"/>
          <w:szCs w:val="20"/>
          <w:lang w:val="en-GB"/>
        </w:rPr>
        <w:lastRenderedPageBreak/>
        <w:t xml:space="preserve">EPR1200 integrates </w:t>
      </w:r>
      <w:r w:rsidRPr="00B06A39">
        <w:rPr>
          <w:rFonts w:ascii="Calibri" w:hAnsi="Calibri" w:cs="Calibri"/>
          <w:b/>
          <w:bCs/>
          <w:szCs w:val="20"/>
          <w:lang w:val="en-GB"/>
        </w:rPr>
        <w:t>proven passive and active safety features</w:t>
      </w:r>
      <w:r w:rsidRPr="00B06A39">
        <w:rPr>
          <w:rFonts w:ascii="Calibri" w:hAnsi="Calibri" w:cs="Calibri"/>
          <w:szCs w:val="20"/>
          <w:lang w:val="en-GB"/>
        </w:rPr>
        <w:t xml:space="preserve"> that ensure reliability, cost effectiveness and optimised safety performance.</w:t>
      </w:r>
    </w:p>
    <w:p w14:paraId="7D0D3C26" w14:textId="77777777" w:rsidR="00D747F5" w:rsidRPr="00B06A39" w:rsidRDefault="00D747F5" w:rsidP="00D747F5">
      <w:pPr>
        <w:pStyle w:val="Textecourant"/>
        <w:numPr>
          <w:ilvl w:val="0"/>
          <w:numId w:val="25"/>
        </w:numPr>
        <w:rPr>
          <w:rFonts w:ascii="Calibri" w:hAnsi="Calibri" w:cs="Calibri"/>
          <w:szCs w:val="20"/>
          <w:lang w:val="en-GB"/>
        </w:rPr>
      </w:pPr>
      <w:r w:rsidRPr="00B06A39">
        <w:rPr>
          <w:rFonts w:ascii="Calibri" w:hAnsi="Calibri" w:cs="Calibri"/>
          <w:szCs w:val="20"/>
          <w:lang w:val="en-GB"/>
        </w:rPr>
        <w:t xml:space="preserve">EPR1200 leverages EDF’s unrivalled experience in </w:t>
      </w:r>
      <w:r w:rsidRPr="00B06A39">
        <w:rPr>
          <w:rFonts w:ascii="Calibri" w:hAnsi="Calibri" w:cs="Calibri"/>
          <w:b/>
          <w:bCs/>
          <w:szCs w:val="20"/>
          <w:lang w:val="en-GB"/>
        </w:rPr>
        <w:t>flexible nuclear power production in ‘load-following’</w:t>
      </w:r>
      <w:r w:rsidRPr="00B06A39">
        <w:rPr>
          <w:rFonts w:ascii="Calibri" w:hAnsi="Calibri" w:cs="Calibri"/>
          <w:szCs w:val="20"/>
          <w:lang w:val="en-GB"/>
        </w:rPr>
        <w:t xml:space="preserve"> </w:t>
      </w:r>
      <w:r w:rsidRPr="00B06A39">
        <w:rPr>
          <w:rFonts w:ascii="Calibri" w:hAnsi="Calibri" w:cs="Calibri"/>
          <w:b/>
          <w:bCs/>
          <w:szCs w:val="20"/>
          <w:lang w:val="en-GB"/>
        </w:rPr>
        <w:t>mode</w:t>
      </w:r>
      <w:r w:rsidRPr="00B06A39">
        <w:rPr>
          <w:rFonts w:ascii="Calibri" w:hAnsi="Calibri" w:cs="Calibri"/>
          <w:szCs w:val="20"/>
          <w:lang w:val="en-GB"/>
        </w:rPr>
        <w:t>.</w:t>
      </w:r>
    </w:p>
    <w:p w14:paraId="7FC96CEB" w14:textId="77777777" w:rsidR="00D747F5" w:rsidRPr="00B06A39" w:rsidRDefault="00D747F5" w:rsidP="00D747F5">
      <w:pPr>
        <w:pStyle w:val="soussoustitre"/>
        <w:rPr>
          <w:rFonts w:ascii="Calibri" w:hAnsi="Calibri" w:cs="Calibri"/>
          <w:sz w:val="20"/>
          <w:szCs w:val="20"/>
        </w:rPr>
      </w:pPr>
      <w:r w:rsidRPr="00B06A39">
        <w:rPr>
          <w:rFonts w:ascii="Calibri" w:hAnsi="Calibri" w:cs="Calibri"/>
          <w:sz w:val="20"/>
          <w:szCs w:val="20"/>
        </w:rPr>
        <w:t>Leveraging EDF unique industrial experience</w:t>
      </w:r>
    </w:p>
    <w:p w14:paraId="6D6481F5" w14:textId="77777777" w:rsidR="00D747F5" w:rsidRPr="00B06A39" w:rsidRDefault="00D747F5" w:rsidP="00D747F5">
      <w:pPr>
        <w:pStyle w:val="Textecourant"/>
        <w:rPr>
          <w:rFonts w:ascii="Calibri" w:hAnsi="Calibri" w:cs="Calibri"/>
          <w:szCs w:val="20"/>
          <w:lang w:val="en-GB"/>
        </w:rPr>
      </w:pPr>
      <w:r w:rsidRPr="00B06A39">
        <w:rPr>
          <w:rFonts w:ascii="Calibri" w:hAnsi="Calibri" w:cs="Calibri"/>
          <w:szCs w:val="20"/>
          <w:lang w:val="en-GB"/>
        </w:rPr>
        <w:t xml:space="preserve">EPR1200 is the latest adaptation of EPR technology; leveraging the lessons learned of the largest nuclear fleet operated worldwide, with more than </w:t>
      </w:r>
      <w:r w:rsidRPr="00B06A39">
        <w:rPr>
          <w:rFonts w:ascii="Calibri" w:hAnsi="Calibri" w:cs="Calibri"/>
          <w:b/>
          <w:bCs/>
          <w:szCs w:val="20"/>
          <w:lang w:val="en-GB"/>
        </w:rPr>
        <w:t>2200 reactor-years of cumulated operating experience</w:t>
      </w:r>
      <w:r w:rsidRPr="00B06A39">
        <w:rPr>
          <w:rFonts w:ascii="Calibri" w:hAnsi="Calibri" w:cs="Calibri"/>
          <w:szCs w:val="20"/>
          <w:lang w:val="en-GB"/>
        </w:rPr>
        <w:t>.</w:t>
      </w:r>
      <w:bookmarkEnd w:id="1"/>
    </w:p>
    <w:p w14:paraId="43DA8752" w14:textId="77777777" w:rsidR="00D747F5" w:rsidRPr="00B06A39" w:rsidRDefault="00D747F5" w:rsidP="00D747F5">
      <w:pPr>
        <w:pStyle w:val="Textecourant"/>
        <w:rPr>
          <w:rFonts w:ascii="Calibri" w:hAnsi="Calibri" w:cs="Calibri"/>
          <w:szCs w:val="20"/>
          <w:lang w:val="en-GB"/>
        </w:rPr>
      </w:pPr>
    </w:p>
    <w:p w14:paraId="31861D3F" w14:textId="77777777" w:rsidR="00D747F5" w:rsidRPr="00B06A39" w:rsidRDefault="00D747F5" w:rsidP="00D747F5">
      <w:pPr>
        <w:pStyle w:val="Textecourant"/>
        <w:rPr>
          <w:rFonts w:ascii="Calibri" w:hAnsi="Calibri" w:cs="Calibri"/>
          <w:b/>
          <w:bCs/>
          <w:szCs w:val="20"/>
          <w:lang w:val="en-GB"/>
        </w:rPr>
      </w:pPr>
      <w:r w:rsidRPr="00B06A39">
        <w:rPr>
          <w:rFonts w:ascii="Calibri" w:hAnsi="Calibri" w:cs="Calibri"/>
          <w:szCs w:val="20"/>
          <w:lang w:val="en-GB"/>
        </w:rPr>
        <w:t xml:space="preserve">The core EPR technology behind EPR1200 has already proven its robustness and adaptability to a variety of regulatory and licensing regimes. </w:t>
      </w:r>
      <w:r w:rsidRPr="00B06A39">
        <w:rPr>
          <w:rFonts w:ascii="Calibri" w:hAnsi="Calibri" w:cs="Calibri"/>
          <w:b/>
          <w:bCs/>
          <w:szCs w:val="20"/>
          <w:lang w:val="en-GB"/>
        </w:rPr>
        <w:t>EPR technology has been adapted to three European countries and licensed by three recognised Safety Authorities (Finland, UK and France).</w:t>
      </w:r>
    </w:p>
    <w:p w14:paraId="011CC62B" w14:textId="77777777" w:rsidR="00D747F5" w:rsidRPr="00B06A39" w:rsidRDefault="00D747F5" w:rsidP="00D747F5">
      <w:pPr>
        <w:pStyle w:val="Textecourant"/>
        <w:rPr>
          <w:rFonts w:ascii="Calibri" w:hAnsi="Calibri" w:cs="Calibri"/>
          <w:szCs w:val="20"/>
          <w:lang w:val="en-GB"/>
        </w:rPr>
      </w:pPr>
    </w:p>
    <w:p w14:paraId="47EB0FA6" w14:textId="77777777" w:rsidR="00D747F5" w:rsidRPr="00B06A39" w:rsidRDefault="00D747F5" w:rsidP="00D747F5">
      <w:pPr>
        <w:pStyle w:val="Textecourant"/>
        <w:rPr>
          <w:rFonts w:ascii="Calibri" w:hAnsi="Calibri" w:cs="Calibri"/>
          <w:szCs w:val="20"/>
          <w:lang w:val="en-GB"/>
        </w:rPr>
      </w:pPr>
      <w:r w:rsidRPr="00B06A39">
        <w:rPr>
          <w:rFonts w:ascii="Calibri" w:hAnsi="Calibri" w:cs="Calibri"/>
          <w:szCs w:val="20"/>
          <w:lang w:val="en-GB"/>
        </w:rPr>
        <w:t xml:space="preserve">EPR1200 benefits from the cumulative lessons learned from of other EPR projects, including design adaptations in </w:t>
      </w:r>
      <w:r w:rsidRPr="00B06A39">
        <w:rPr>
          <w:rFonts w:ascii="Calibri" w:hAnsi="Calibri" w:cs="Calibri"/>
          <w:b/>
          <w:bCs/>
          <w:szCs w:val="20"/>
          <w:lang w:val="en-GB"/>
        </w:rPr>
        <w:t>diverse regulatory, environmental and construction environments</w:t>
      </w:r>
      <w:r w:rsidRPr="00B06A39">
        <w:rPr>
          <w:rFonts w:ascii="Calibri" w:hAnsi="Calibri" w:cs="Calibri"/>
          <w:szCs w:val="20"/>
          <w:lang w:val="en-GB"/>
        </w:rPr>
        <w:t>.</w:t>
      </w:r>
    </w:p>
    <w:p w14:paraId="1FC43DB5" w14:textId="77777777" w:rsidR="00D747F5" w:rsidRPr="00B06A39" w:rsidRDefault="00D747F5" w:rsidP="00D747F5">
      <w:pPr>
        <w:pStyle w:val="soussoustitre"/>
        <w:rPr>
          <w:rFonts w:ascii="Calibri" w:hAnsi="Calibri" w:cs="Calibri"/>
          <w:sz w:val="20"/>
          <w:szCs w:val="20"/>
        </w:rPr>
      </w:pPr>
      <w:r w:rsidRPr="00B06A39">
        <w:rPr>
          <w:rFonts w:ascii="Calibri" w:hAnsi="Calibri" w:cs="Calibri"/>
          <w:sz w:val="20"/>
          <w:szCs w:val="20"/>
        </w:rPr>
        <w:t>A Fully Independent and European Technology</w:t>
      </w:r>
    </w:p>
    <w:p w14:paraId="468004FF" w14:textId="77777777" w:rsidR="00D747F5" w:rsidRPr="00B06A39" w:rsidRDefault="00D747F5" w:rsidP="00D747F5">
      <w:pPr>
        <w:pStyle w:val="Textecourant"/>
        <w:rPr>
          <w:rFonts w:ascii="Calibri" w:hAnsi="Calibri" w:cs="Calibri"/>
          <w:szCs w:val="20"/>
          <w:lang w:val="en-GB"/>
        </w:rPr>
      </w:pPr>
      <w:r w:rsidRPr="00B06A39">
        <w:rPr>
          <w:rFonts w:ascii="Calibri" w:hAnsi="Calibri" w:cs="Calibri"/>
          <w:szCs w:val="20"/>
          <w:lang w:val="en-GB"/>
        </w:rPr>
        <w:t xml:space="preserve">EDF has </w:t>
      </w:r>
      <w:r w:rsidRPr="00B06A39">
        <w:rPr>
          <w:rFonts w:ascii="Calibri" w:hAnsi="Calibri" w:cs="Calibri"/>
          <w:b/>
          <w:bCs/>
          <w:szCs w:val="20"/>
          <w:lang w:val="en-GB"/>
        </w:rPr>
        <w:t>complete ownership and mastery of the EPR1200 design</w:t>
      </w:r>
      <w:r w:rsidRPr="00B06A39">
        <w:rPr>
          <w:rFonts w:ascii="Calibri" w:hAnsi="Calibri" w:cs="Calibri"/>
          <w:szCs w:val="20"/>
          <w:lang w:val="en-GB"/>
        </w:rPr>
        <w:t>: basic design and detailed design are all performed in-house within EDF its subsidiaries and local partners.</w:t>
      </w:r>
    </w:p>
    <w:p w14:paraId="384C85FA" w14:textId="77777777" w:rsidR="00D747F5" w:rsidRPr="00B06A39" w:rsidRDefault="00D747F5" w:rsidP="00D747F5">
      <w:pPr>
        <w:pStyle w:val="Textecourant"/>
        <w:rPr>
          <w:rFonts w:ascii="Calibri" w:hAnsi="Calibri" w:cs="Calibri"/>
          <w:szCs w:val="20"/>
          <w:lang w:val="en-GB"/>
        </w:rPr>
      </w:pPr>
    </w:p>
    <w:p w14:paraId="6ABC8B67" w14:textId="77777777" w:rsidR="00D747F5" w:rsidRPr="00B06A39" w:rsidRDefault="00D747F5" w:rsidP="00D747F5">
      <w:pPr>
        <w:pStyle w:val="Textecourant"/>
        <w:rPr>
          <w:rFonts w:ascii="Calibri" w:hAnsi="Calibri" w:cs="Calibri"/>
          <w:szCs w:val="20"/>
          <w:lang w:val="en-GB"/>
        </w:rPr>
      </w:pPr>
      <w:r w:rsidRPr="00B06A39">
        <w:rPr>
          <w:rFonts w:ascii="Calibri" w:hAnsi="Calibri" w:cs="Calibri"/>
          <w:szCs w:val="20"/>
          <w:lang w:val="en-GB"/>
        </w:rPr>
        <w:t xml:space="preserve">EDF brings </w:t>
      </w:r>
      <w:r w:rsidRPr="00B06A39">
        <w:rPr>
          <w:rFonts w:ascii="Calibri" w:hAnsi="Calibri" w:cs="Calibri"/>
          <w:b/>
          <w:bCs/>
          <w:szCs w:val="20"/>
          <w:lang w:val="en-GB"/>
        </w:rPr>
        <w:t>manufacturing capabilities for large components</w:t>
      </w:r>
      <w:r w:rsidRPr="00B06A39">
        <w:rPr>
          <w:rFonts w:ascii="Calibri" w:hAnsi="Calibri" w:cs="Calibri"/>
          <w:szCs w:val="20"/>
          <w:lang w:val="en-GB"/>
        </w:rPr>
        <w:t xml:space="preserve"> (reactor pressure vessel, steam generators, pressuriser, primary pumps) thanks to its subsidiary, Framatome.</w:t>
      </w:r>
    </w:p>
    <w:p w14:paraId="5E3CE87A" w14:textId="77777777" w:rsidR="00D747F5" w:rsidRPr="00B06A39" w:rsidRDefault="00D747F5" w:rsidP="00D747F5">
      <w:pPr>
        <w:pStyle w:val="Textecourant"/>
        <w:rPr>
          <w:rFonts w:ascii="Calibri" w:hAnsi="Calibri" w:cs="Calibri"/>
          <w:szCs w:val="20"/>
          <w:lang w:val="en-GB"/>
        </w:rPr>
      </w:pPr>
    </w:p>
    <w:p w14:paraId="61AF6609" w14:textId="77777777" w:rsidR="00D747F5" w:rsidRPr="00B06A39" w:rsidRDefault="00D747F5" w:rsidP="00D747F5">
      <w:pPr>
        <w:pStyle w:val="Textecourant"/>
        <w:rPr>
          <w:rFonts w:ascii="Calibri" w:hAnsi="Calibri" w:cs="Calibri"/>
          <w:szCs w:val="20"/>
          <w:lang w:val="en-GB"/>
        </w:rPr>
      </w:pPr>
      <w:r w:rsidRPr="00B06A39">
        <w:rPr>
          <w:rFonts w:ascii="Calibri" w:hAnsi="Calibri" w:cs="Calibri"/>
          <w:szCs w:val="20"/>
          <w:lang w:val="en-GB"/>
        </w:rPr>
        <w:t xml:space="preserve">EDF offers a </w:t>
      </w:r>
      <w:r w:rsidRPr="00B06A39">
        <w:rPr>
          <w:rFonts w:ascii="Calibri" w:hAnsi="Calibri" w:cs="Calibri"/>
          <w:b/>
          <w:bCs/>
          <w:szCs w:val="20"/>
          <w:lang w:val="en-GB"/>
        </w:rPr>
        <w:t>single point of entry</w:t>
      </w:r>
      <w:r w:rsidRPr="00B06A39">
        <w:rPr>
          <w:rFonts w:ascii="Calibri" w:hAnsi="Calibri" w:cs="Calibri"/>
          <w:szCs w:val="20"/>
          <w:lang w:val="en-GB"/>
        </w:rPr>
        <w:t xml:space="preserve"> for project management as the general contractor of the project and will be the sole interface for ČEZ/EDU II during the entire project.</w:t>
      </w:r>
    </w:p>
    <w:p w14:paraId="3D3CB221" w14:textId="77777777" w:rsidR="00D747F5" w:rsidRDefault="00D747F5" w:rsidP="00D747F5">
      <w:pPr>
        <w:pStyle w:val="Textecourant"/>
        <w:rPr>
          <w:lang w:val="en-GB"/>
        </w:rPr>
      </w:pPr>
    </w:p>
    <w:p w14:paraId="3AF90DAD" w14:textId="0036EDA0" w:rsidR="004C45CE" w:rsidRDefault="004C45CE" w:rsidP="00D747F5">
      <w:pPr>
        <w:pStyle w:val="Titrepage"/>
        <w:rPr>
          <w:rFonts w:ascii="Calibri" w:hAnsi="Calibri" w:cs="Calibri"/>
          <w:szCs w:val="28"/>
        </w:rPr>
      </w:pPr>
      <w:r w:rsidRPr="00B06A39">
        <w:rPr>
          <w:rFonts w:ascii="Calibri" w:hAnsi="Calibri" w:cs="Calibri"/>
          <w:szCs w:val="28"/>
        </w:rPr>
        <w:t xml:space="preserve">EDF’s </w:t>
      </w:r>
      <w:r>
        <w:rPr>
          <w:rFonts w:ascii="Calibri" w:hAnsi="Calibri" w:cs="Calibri"/>
          <w:szCs w:val="28"/>
        </w:rPr>
        <w:t>offer in numbers</w:t>
      </w:r>
    </w:p>
    <w:p w14:paraId="5646BF55" w14:textId="4EE4EBE4" w:rsidR="004C45CE" w:rsidRDefault="004C45CE" w:rsidP="004C45CE">
      <w:pPr>
        <w:pStyle w:val="Textecourant"/>
        <w:rPr>
          <w:rFonts w:ascii="Calibri" w:hAnsi="Calibri" w:cs="Calibri"/>
          <w:szCs w:val="20"/>
          <w:lang w:val="en-GB"/>
        </w:rPr>
      </w:pPr>
      <w:r w:rsidRPr="004C45CE">
        <w:rPr>
          <w:rFonts w:ascii="Calibri" w:hAnsi="Calibri" w:cs="Calibri"/>
          <w:szCs w:val="20"/>
          <w:lang w:val="en-GB"/>
        </w:rPr>
        <w:t xml:space="preserve">The </w:t>
      </w:r>
      <w:r>
        <w:rPr>
          <w:rFonts w:ascii="Calibri" w:hAnsi="Calibri" w:cs="Calibri"/>
          <w:szCs w:val="20"/>
          <w:lang w:val="en-GB"/>
        </w:rPr>
        <w:t xml:space="preserve">integrated offer supplement for the construction of up to 4 new EPR1200 units in the Czech Republic was officially submitted to </w:t>
      </w:r>
      <w:r w:rsidRPr="00B06A39">
        <w:rPr>
          <w:rFonts w:ascii="Calibri" w:hAnsi="Calibri" w:cs="Calibri"/>
          <w:szCs w:val="20"/>
          <w:lang w:val="en-GB"/>
        </w:rPr>
        <w:t>ČEZ/EDUII</w:t>
      </w:r>
      <w:r>
        <w:rPr>
          <w:rFonts w:ascii="Calibri" w:hAnsi="Calibri" w:cs="Calibri"/>
          <w:szCs w:val="20"/>
          <w:lang w:val="en-GB"/>
        </w:rPr>
        <w:t xml:space="preserve"> on 30 April 2024.</w:t>
      </w:r>
    </w:p>
    <w:p w14:paraId="3F3A6278" w14:textId="77777777" w:rsidR="004C45CE" w:rsidRDefault="004C45CE" w:rsidP="004C45CE">
      <w:pPr>
        <w:pStyle w:val="Textecourant"/>
        <w:rPr>
          <w:rFonts w:ascii="Calibri" w:hAnsi="Calibri" w:cs="Calibri"/>
          <w:szCs w:val="20"/>
          <w:lang w:val="en-GB"/>
        </w:rPr>
      </w:pPr>
    </w:p>
    <w:p w14:paraId="3CC3AD7A" w14:textId="5DD38297" w:rsidR="004C45CE" w:rsidRDefault="004C45CE" w:rsidP="004C45CE">
      <w:pPr>
        <w:pStyle w:val="Textecourant"/>
        <w:rPr>
          <w:rFonts w:ascii="Calibri" w:hAnsi="Calibri" w:cs="Calibri"/>
          <w:szCs w:val="20"/>
          <w:lang w:val="en-GB"/>
        </w:rPr>
      </w:pPr>
      <w:r>
        <w:rPr>
          <w:rFonts w:ascii="Calibri" w:hAnsi="Calibri" w:cs="Calibri"/>
          <w:szCs w:val="20"/>
          <w:lang w:val="en-GB"/>
        </w:rPr>
        <w:t xml:space="preserve">The offer is composed of over 10.000 pages of documentation intricately detailed EDF’s offer. This documentation include : </w:t>
      </w:r>
    </w:p>
    <w:p w14:paraId="4E818A30" w14:textId="33B77DBF" w:rsidR="004C45CE" w:rsidRPr="004C45CE" w:rsidRDefault="004C45CE" w:rsidP="004C45CE">
      <w:pPr>
        <w:pStyle w:val="Textecourant"/>
        <w:numPr>
          <w:ilvl w:val="0"/>
          <w:numId w:val="34"/>
        </w:numPr>
        <w:rPr>
          <w:rFonts w:ascii="Calibri" w:hAnsi="Calibri" w:cs="Calibri"/>
          <w:szCs w:val="20"/>
          <w:lang w:val="en-GB"/>
        </w:rPr>
      </w:pPr>
      <w:r w:rsidRPr="004C45CE">
        <w:rPr>
          <w:rFonts w:ascii="Calibri" w:hAnsi="Calibri" w:cs="Calibri"/>
          <w:szCs w:val="20"/>
          <w:lang w:val="en-GB"/>
        </w:rPr>
        <w:t xml:space="preserve">Detailed </w:t>
      </w:r>
      <w:r w:rsidRPr="004C45CE">
        <w:rPr>
          <w:rFonts w:ascii="Calibri" w:hAnsi="Calibri" w:cs="Calibri"/>
          <w:b/>
          <w:bCs/>
          <w:szCs w:val="20"/>
          <w:lang w:val="en-GB"/>
        </w:rPr>
        <w:t>technical description of the E</w:t>
      </w:r>
      <w:r w:rsidR="003422B6">
        <w:rPr>
          <w:rFonts w:ascii="Calibri" w:hAnsi="Calibri" w:cs="Calibri"/>
          <w:b/>
          <w:bCs/>
          <w:szCs w:val="20"/>
          <w:lang w:val="en-GB"/>
        </w:rPr>
        <w:t>PR1200</w:t>
      </w:r>
      <w:r w:rsidRPr="004C45CE">
        <w:rPr>
          <w:rFonts w:ascii="Calibri" w:hAnsi="Calibri" w:cs="Calibri"/>
          <w:szCs w:val="20"/>
          <w:lang w:val="en-GB"/>
        </w:rPr>
        <w:t>: its performances, safety functions and architecture</w:t>
      </w:r>
      <w:r w:rsidR="003A65E2">
        <w:rPr>
          <w:rFonts w:ascii="Calibri" w:hAnsi="Calibri" w:cs="Calibri"/>
          <w:szCs w:val="20"/>
          <w:lang w:val="en-GB"/>
        </w:rPr>
        <w:t>,</w:t>
      </w:r>
    </w:p>
    <w:p w14:paraId="5A9F3165" w14:textId="455E3164" w:rsidR="004C45CE" w:rsidRPr="004C45CE" w:rsidRDefault="004C45CE" w:rsidP="004C45CE">
      <w:pPr>
        <w:pStyle w:val="Textecourant"/>
        <w:numPr>
          <w:ilvl w:val="0"/>
          <w:numId w:val="34"/>
        </w:numPr>
        <w:rPr>
          <w:rFonts w:ascii="Calibri" w:hAnsi="Calibri" w:cs="Calibri"/>
          <w:szCs w:val="20"/>
          <w:lang w:val="en-GB"/>
        </w:rPr>
      </w:pPr>
      <w:r w:rsidRPr="004C45CE">
        <w:rPr>
          <w:rFonts w:ascii="Calibri" w:hAnsi="Calibri" w:cs="Calibri"/>
          <w:szCs w:val="20"/>
          <w:lang w:val="en-GB"/>
        </w:rPr>
        <w:t xml:space="preserve">EDF’s </w:t>
      </w:r>
      <w:r w:rsidRPr="004C45CE">
        <w:rPr>
          <w:rFonts w:ascii="Calibri" w:hAnsi="Calibri" w:cs="Calibri"/>
          <w:b/>
          <w:bCs/>
          <w:szCs w:val="20"/>
          <w:lang w:val="en-GB"/>
        </w:rPr>
        <w:t>commercial proposition and proje</w:t>
      </w:r>
      <w:r>
        <w:rPr>
          <w:rFonts w:ascii="Calibri" w:hAnsi="Calibri" w:cs="Calibri"/>
          <w:b/>
          <w:bCs/>
          <w:szCs w:val="20"/>
          <w:lang w:val="en-GB"/>
        </w:rPr>
        <w:t>c</w:t>
      </w:r>
      <w:r w:rsidRPr="004C45CE">
        <w:rPr>
          <w:rFonts w:ascii="Calibri" w:hAnsi="Calibri" w:cs="Calibri"/>
          <w:b/>
          <w:bCs/>
          <w:szCs w:val="20"/>
          <w:lang w:val="en-GB"/>
        </w:rPr>
        <w:t>t execution plan</w:t>
      </w:r>
      <w:r w:rsidRPr="004C45CE">
        <w:rPr>
          <w:rFonts w:ascii="Calibri" w:hAnsi="Calibri" w:cs="Calibri"/>
          <w:szCs w:val="20"/>
          <w:lang w:val="en-GB"/>
        </w:rPr>
        <w:t xml:space="preserve">, designed to deliver the project in accordance with CEZ/EDUII‘s requirements and aiming for </w:t>
      </w:r>
      <w:r w:rsidRPr="004C45CE">
        <w:rPr>
          <w:rFonts w:ascii="Calibri" w:hAnsi="Calibri" w:cs="Calibri"/>
          <w:b/>
          <w:bCs/>
          <w:szCs w:val="20"/>
          <w:lang w:val="en-GB"/>
        </w:rPr>
        <w:t>at least 65% of Czech industry involvement</w:t>
      </w:r>
      <w:r w:rsidR="003A65E2">
        <w:rPr>
          <w:rFonts w:ascii="Calibri" w:hAnsi="Calibri" w:cs="Calibri"/>
          <w:szCs w:val="20"/>
          <w:lang w:val="en-GB"/>
        </w:rPr>
        <w:t>,</w:t>
      </w:r>
    </w:p>
    <w:p w14:paraId="1645D657" w14:textId="2836E75B" w:rsidR="004C45CE" w:rsidRDefault="004C45CE" w:rsidP="004C45CE">
      <w:pPr>
        <w:pStyle w:val="Textecourant"/>
        <w:numPr>
          <w:ilvl w:val="0"/>
          <w:numId w:val="34"/>
        </w:numPr>
        <w:rPr>
          <w:rFonts w:ascii="Calibri" w:hAnsi="Calibri" w:cs="Calibri"/>
          <w:szCs w:val="20"/>
          <w:lang w:val="en-GB"/>
        </w:rPr>
      </w:pPr>
      <w:r w:rsidRPr="004C45CE">
        <w:rPr>
          <w:rFonts w:ascii="Calibri" w:hAnsi="Calibri" w:cs="Calibri"/>
          <w:szCs w:val="20"/>
          <w:lang w:val="en-GB"/>
        </w:rPr>
        <w:t xml:space="preserve">EDF’s detailed proposal for a </w:t>
      </w:r>
      <w:r w:rsidRPr="004C45CE">
        <w:rPr>
          <w:rFonts w:ascii="Calibri" w:hAnsi="Calibri" w:cs="Calibri"/>
          <w:b/>
          <w:bCs/>
          <w:szCs w:val="20"/>
          <w:lang w:val="en-GB"/>
        </w:rPr>
        <w:t>fleet effect</w:t>
      </w:r>
      <w:r w:rsidRPr="004C45CE">
        <w:rPr>
          <w:rFonts w:ascii="Calibri" w:hAnsi="Calibri" w:cs="Calibri"/>
          <w:szCs w:val="20"/>
          <w:lang w:val="en-GB"/>
        </w:rPr>
        <w:t xml:space="preserve"> if more than one reactor were to be built, including a detailed and thorough analysis of all the optimisations and synergies that could be leveraged in project performance and competitiveness.</w:t>
      </w:r>
    </w:p>
    <w:p w14:paraId="442ACD76" w14:textId="77777777" w:rsidR="004C45CE" w:rsidRDefault="004C45CE" w:rsidP="004C45CE">
      <w:pPr>
        <w:pStyle w:val="Textecourant"/>
        <w:rPr>
          <w:rFonts w:ascii="Calibri" w:hAnsi="Calibri" w:cs="Calibri"/>
          <w:szCs w:val="20"/>
          <w:lang w:val="en-GB"/>
        </w:rPr>
      </w:pPr>
    </w:p>
    <w:p w14:paraId="332545AB" w14:textId="28677E33" w:rsidR="006B4356" w:rsidRPr="005C33EE" w:rsidRDefault="004C45CE" w:rsidP="005C33EE">
      <w:pPr>
        <w:pStyle w:val="Textecourant"/>
        <w:rPr>
          <w:rFonts w:ascii="Calibri" w:hAnsi="Calibri" w:cs="Calibri"/>
          <w:szCs w:val="20"/>
          <w:lang w:val="en-GB"/>
        </w:rPr>
      </w:pPr>
      <w:r>
        <w:rPr>
          <w:rFonts w:ascii="Calibri" w:hAnsi="Calibri" w:cs="Calibri"/>
          <w:szCs w:val="20"/>
          <w:lang w:val="en-GB"/>
        </w:rPr>
        <w:lastRenderedPageBreak/>
        <w:t xml:space="preserve">Over the past three years EDF and its strategic industrial partners </w:t>
      </w:r>
      <w:r w:rsidR="00DA08D0">
        <w:rPr>
          <w:rFonts w:ascii="Calibri" w:hAnsi="Calibri" w:cs="Calibri"/>
          <w:szCs w:val="20"/>
          <w:lang w:val="en-GB"/>
        </w:rPr>
        <w:t xml:space="preserve">(namely </w:t>
      </w:r>
      <w:proofErr w:type="spellStart"/>
      <w:r w:rsidR="00DA08D0">
        <w:rPr>
          <w:rFonts w:ascii="Calibri" w:hAnsi="Calibri" w:cs="Calibri"/>
          <w:szCs w:val="20"/>
          <w:lang w:val="en-GB"/>
        </w:rPr>
        <w:t>Framatome</w:t>
      </w:r>
      <w:proofErr w:type="spellEnd"/>
      <w:r w:rsidR="00DA08D0">
        <w:rPr>
          <w:rFonts w:ascii="Calibri" w:hAnsi="Calibri" w:cs="Calibri"/>
          <w:szCs w:val="20"/>
          <w:lang w:val="en-GB"/>
        </w:rPr>
        <w:t xml:space="preserve">, Bouygues </w:t>
      </w:r>
      <w:proofErr w:type="spellStart"/>
      <w:r w:rsidR="00862AF6">
        <w:rPr>
          <w:rFonts w:ascii="Calibri" w:hAnsi="Calibri" w:cs="Calibri"/>
          <w:szCs w:val="20"/>
          <w:lang w:val="en-GB"/>
        </w:rPr>
        <w:t>Travaux</w:t>
      </w:r>
      <w:proofErr w:type="spellEnd"/>
      <w:r w:rsidR="00862AF6">
        <w:rPr>
          <w:rFonts w:ascii="Calibri" w:hAnsi="Calibri" w:cs="Calibri"/>
          <w:szCs w:val="20"/>
          <w:lang w:val="en-GB"/>
        </w:rPr>
        <w:t xml:space="preserve"> Publics</w:t>
      </w:r>
      <w:r w:rsidR="00C875B2">
        <w:rPr>
          <w:rFonts w:ascii="Calibri" w:hAnsi="Calibri" w:cs="Calibri"/>
          <w:szCs w:val="20"/>
          <w:lang w:val="en-GB"/>
        </w:rPr>
        <w:t xml:space="preserve">, </w:t>
      </w:r>
      <w:r w:rsidR="00862AF6">
        <w:rPr>
          <w:rFonts w:ascii="Calibri" w:hAnsi="Calibri" w:cs="Calibri"/>
          <w:szCs w:val="20"/>
          <w:lang w:val="en-GB"/>
        </w:rPr>
        <w:t>GE Steam Power</w:t>
      </w:r>
      <w:r w:rsidR="00C875B2">
        <w:rPr>
          <w:rFonts w:ascii="Calibri" w:hAnsi="Calibri" w:cs="Calibri"/>
          <w:szCs w:val="20"/>
          <w:lang w:val="en-GB"/>
        </w:rPr>
        <w:t xml:space="preserve"> and </w:t>
      </w:r>
      <w:proofErr w:type="spellStart"/>
      <w:r w:rsidR="00C875B2">
        <w:rPr>
          <w:rFonts w:ascii="Calibri" w:hAnsi="Calibri" w:cs="Calibri"/>
          <w:szCs w:val="20"/>
          <w:lang w:val="en-GB"/>
        </w:rPr>
        <w:t>Atos</w:t>
      </w:r>
      <w:proofErr w:type="spellEnd"/>
      <w:r w:rsidR="00C875B2">
        <w:rPr>
          <w:rFonts w:ascii="Calibri" w:hAnsi="Calibri" w:cs="Calibri"/>
          <w:szCs w:val="20"/>
          <w:lang w:val="en-GB"/>
        </w:rPr>
        <w:t>)</w:t>
      </w:r>
      <w:r w:rsidR="00862AF6">
        <w:rPr>
          <w:rFonts w:ascii="Calibri" w:hAnsi="Calibri" w:cs="Calibri"/>
          <w:szCs w:val="20"/>
          <w:lang w:val="en-GB"/>
        </w:rPr>
        <w:t xml:space="preserve"> </w:t>
      </w:r>
      <w:r>
        <w:rPr>
          <w:rFonts w:ascii="Calibri" w:hAnsi="Calibri" w:cs="Calibri"/>
          <w:szCs w:val="20"/>
          <w:lang w:val="en-GB"/>
        </w:rPr>
        <w:t xml:space="preserve">have mobilised over </w:t>
      </w:r>
      <w:r w:rsidRPr="006B4356">
        <w:rPr>
          <w:rFonts w:ascii="Calibri" w:hAnsi="Calibri" w:cs="Calibri"/>
          <w:b/>
          <w:bCs/>
          <w:szCs w:val="20"/>
          <w:lang w:val="en-GB"/>
        </w:rPr>
        <w:t>400 engineers</w:t>
      </w:r>
      <w:r>
        <w:rPr>
          <w:rFonts w:ascii="Calibri" w:hAnsi="Calibri" w:cs="Calibri"/>
          <w:szCs w:val="20"/>
          <w:lang w:val="en-GB"/>
        </w:rPr>
        <w:t xml:space="preserve"> to develop a competitive and robust offer</w:t>
      </w:r>
      <w:r w:rsidR="006B4356">
        <w:rPr>
          <w:rFonts w:ascii="Calibri" w:hAnsi="Calibri" w:cs="Calibri"/>
          <w:szCs w:val="20"/>
          <w:lang w:val="en-GB"/>
        </w:rPr>
        <w:t xml:space="preserve">, </w:t>
      </w:r>
      <w:r w:rsidR="0092526B">
        <w:rPr>
          <w:rFonts w:ascii="Calibri" w:hAnsi="Calibri" w:cs="Calibri"/>
          <w:szCs w:val="20"/>
          <w:lang w:val="en-GB"/>
        </w:rPr>
        <w:t>including</w:t>
      </w:r>
      <w:r w:rsidR="006B4356">
        <w:rPr>
          <w:rFonts w:ascii="Calibri" w:hAnsi="Calibri" w:cs="Calibri"/>
          <w:szCs w:val="20"/>
          <w:lang w:val="en-GB"/>
        </w:rPr>
        <w:t xml:space="preserve"> world-class experts globally recognised in their respective fields of expertise.</w:t>
      </w:r>
    </w:p>
    <w:p w14:paraId="02F1759A" w14:textId="481078DA" w:rsidR="0099034E" w:rsidRPr="00D747F5" w:rsidRDefault="008264C3" w:rsidP="00D747F5">
      <w:pPr>
        <w:pStyle w:val="Titrepage"/>
        <w:rPr>
          <w:rFonts w:ascii="Calibri" w:hAnsi="Calibri" w:cs="Calibri"/>
          <w:szCs w:val="28"/>
        </w:rPr>
      </w:pPr>
      <w:r w:rsidRPr="00D747F5">
        <w:rPr>
          <w:rFonts w:ascii="Calibri" w:hAnsi="Calibri" w:cs="Calibri"/>
          <w:szCs w:val="28"/>
        </w:rPr>
        <w:t>Some past and upcoming key events</w:t>
      </w:r>
    </w:p>
    <w:p w14:paraId="351DBB5D" w14:textId="75ADA69D" w:rsidR="008264C3" w:rsidRPr="004C45CE" w:rsidRDefault="008264C3" w:rsidP="00785137">
      <w:pPr>
        <w:pStyle w:val="Textecourant"/>
        <w:rPr>
          <w:rFonts w:ascii="Calibri" w:hAnsi="Calibri" w:cs="Calibri"/>
          <w:lang w:val="en-GB"/>
        </w:rPr>
      </w:pPr>
      <w:r w:rsidRPr="004C45CE">
        <w:rPr>
          <w:rFonts w:ascii="Calibri" w:hAnsi="Calibri" w:cs="Calibri"/>
          <w:lang w:val="en-GB"/>
        </w:rPr>
        <w:t xml:space="preserve">In June 2021, EDF held a </w:t>
      </w:r>
      <w:r w:rsidRPr="004C45CE">
        <w:rPr>
          <w:rFonts w:ascii="Calibri" w:hAnsi="Calibri" w:cs="Calibri"/>
          <w:b/>
          <w:bCs/>
          <w:lang w:val="en-GB"/>
        </w:rPr>
        <w:t>French-Czech EDF Suppliers’ Day</w:t>
      </w:r>
      <w:r w:rsidRPr="004C45CE">
        <w:rPr>
          <w:rFonts w:ascii="Calibri" w:hAnsi="Calibri" w:cs="Calibri"/>
          <w:lang w:val="en-GB"/>
        </w:rPr>
        <w:t xml:space="preserve"> dedicated to mobili</w:t>
      </w:r>
      <w:r w:rsidR="005C3E4E" w:rsidRPr="004C45CE">
        <w:rPr>
          <w:rFonts w:ascii="Calibri" w:hAnsi="Calibri" w:cs="Calibri"/>
          <w:lang w:val="en-GB"/>
        </w:rPr>
        <w:t>s</w:t>
      </w:r>
      <w:r w:rsidRPr="004C45CE">
        <w:rPr>
          <w:rFonts w:ascii="Calibri" w:hAnsi="Calibri" w:cs="Calibri"/>
          <w:lang w:val="en-GB"/>
        </w:rPr>
        <w:t>ing the Czech nuclear supply chain in the EDF-led EPR1200 reactor offer for the Dukovany 5 nuclear power plant. The event was a major success gathering more than 50 leading Czech companies.</w:t>
      </w:r>
    </w:p>
    <w:p w14:paraId="3C58F7DA" w14:textId="77777777" w:rsidR="00785137" w:rsidRPr="004C45CE" w:rsidRDefault="00785137" w:rsidP="00785137">
      <w:pPr>
        <w:pStyle w:val="Textecourant"/>
        <w:rPr>
          <w:rFonts w:ascii="Calibri" w:hAnsi="Calibri" w:cs="Calibri"/>
          <w:lang w:val="en-GB"/>
        </w:rPr>
      </w:pPr>
    </w:p>
    <w:p w14:paraId="19F185BD" w14:textId="60D68ED7" w:rsidR="008264C3" w:rsidRPr="004C45CE" w:rsidRDefault="008264C3" w:rsidP="00785137">
      <w:pPr>
        <w:pStyle w:val="Textecourant"/>
        <w:rPr>
          <w:rFonts w:ascii="Calibri" w:hAnsi="Calibri" w:cs="Calibri"/>
          <w:lang w:val="en-GB"/>
        </w:rPr>
      </w:pPr>
      <w:r w:rsidRPr="004C45CE">
        <w:rPr>
          <w:rFonts w:ascii="Calibri" w:hAnsi="Calibri" w:cs="Calibri"/>
          <w:lang w:val="en-GB"/>
        </w:rPr>
        <w:t xml:space="preserve">On June 29th 2022, EDF held the first </w:t>
      </w:r>
      <w:r w:rsidRPr="004C45CE">
        <w:rPr>
          <w:rFonts w:ascii="Calibri" w:hAnsi="Calibri" w:cs="Calibri"/>
          <w:b/>
          <w:bCs/>
          <w:lang w:val="en-GB"/>
        </w:rPr>
        <w:t>Czech-French EDF Partners’ Day</w:t>
      </w:r>
      <w:r w:rsidRPr="004C45CE">
        <w:rPr>
          <w:rFonts w:ascii="Calibri" w:hAnsi="Calibri" w:cs="Calibri"/>
          <w:lang w:val="en-GB"/>
        </w:rPr>
        <w:t xml:space="preserve">. It offered a unique opportunity for Czech and French industrial partners to </w:t>
      </w:r>
      <w:r w:rsidR="004812AD" w:rsidRPr="004C45CE">
        <w:rPr>
          <w:rFonts w:ascii="Calibri" w:hAnsi="Calibri" w:cs="Calibri"/>
          <w:lang w:val="en-GB"/>
        </w:rPr>
        <w:t>coordinate the</w:t>
      </w:r>
      <w:r w:rsidRPr="004C45CE">
        <w:rPr>
          <w:rFonts w:ascii="Calibri" w:hAnsi="Calibri" w:cs="Calibri"/>
          <w:lang w:val="en-GB"/>
        </w:rPr>
        <w:t xml:space="preserve"> preparation of EDF’s EPR1200 proposal and to share insight and aspirations for the Dukovany 5 project as we work together to further the integration of a significant local portion into EDF’s proposal to build the first EPR1200 in the Czech Republic.</w:t>
      </w:r>
    </w:p>
    <w:p w14:paraId="16FD3A43" w14:textId="77777777" w:rsidR="00785137" w:rsidRPr="004C45CE" w:rsidRDefault="00785137" w:rsidP="00785137">
      <w:pPr>
        <w:pStyle w:val="Textecourant"/>
        <w:rPr>
          <w:rFonts w:ascii="Calibri" w:hAnsi="Calibri" w:cs="Calibri"/>
          <w:lang w:val="en-GB"/>
        </w:rPr>
      </w:pPr>
    </w:p>
    <w:p w14:paraId="60E5FA61" w14:textId="52E65DED" w:rsidR="00785137" w:rsidRPr="004C45CE" w:rsidRDefault="00785137" w:rsidP="00785137">
      <w:pPr>
        <w:pStyle w:val="Textecourant"/>
        <w:rPr>
          <w:rFonts w:ascii="Calibri" w:hAnsi="Calibri" w:cs="Calibri"/>
          <w:lang w:val="en-GB"/>
        </w:rPr>
      </w:pPr>
      <w:r w:rsidRPr="004C45CE">
        <w:rPr>
          <w:rFonts w:ascii="Calibri" w:hAnsi="Calibri" w:cs="Calibri"/>
          <w:lang w:val="en-GB"/>
        </w:rPr>
        <w:t>In Ju</w:t>
      </w:r>
      <w:r w:rsidR="00C47117" w:rsidRPr="004C45CE">
        <w:rPr>
          <w:rFonts w:ascii="Calibri" w:hAnsi="Calibri" w:cs="Calibri"/>
          <w:lang w:val="en-GB"/>
        </w:rPr>
        <w:t xml:space="preserve">ne 2022, </w:t>
      </w:r>
      <w:r w:rsidR="008914D1" w:rsidRPr="004C45CE">
        <w:rPr>
          <w:rFonts w:ascii="Calibri" w:hAnsi="Calibri" w:cs="Calibri"/>
          <w:lang w:val="en-GB"/>
        </w:rPr>
        <w:t xml:space="preserve">EDF announced the opening of its permanent </w:t>
      </w:r>
      <w:r w:rsidR="008914D1" w:rsidRPr="004C45CE">
        <w:rPr>
          <w:rFonts w:ascii="Calibri" w:hAnsi="Calibri" w:cs="Calibri"/>
          <w:b/>
          <w:bCs/>
          <w:lang w:val="en-GB"/>
        </w:rPr>
        <w:t>EDF Nuclear Czechia</w:t>
      </w:r>
      <w:r w:rsidR="008914D1" w:rsidRPr="004C45CE">
        <w:rPr>
          <w:rFonts w:ascii="Calibri" w:hAnsi="Calibri" w:cs="Calibri"/>
          <w:lang w:val="en-GB"/>
        </w:rPr>
        <w:t xml:space="preserve"> branch in Prague, Headed by Mr. Roman Zdebor.</w:t>
      </w:r>
      <w:r w:rsidR="00027F71" w:rsidRPr="004C45CE">
        <w:rPr>
          <w:rFonts w:ascii="Calibri" w:hAnsi="Calibri" w:cs="Calibri"/>
          <w:color w:val="001A70"/>
          <w:szCs w:val="20"/>
          <w:lang w:val="en-GB"/>
        </w:rPr>
        <w:t xml:space="preserve"> EDF Nuclear Czechia supports all EDF’s nuclear activities in the Czech Republic, with a prime focus on contributing to the consolidation of EDF’s EPR1200 bid for the Dukovany 5 tendering process launched by ČEZ </w:t>
      </w:r>
      <w:r w:rsidR="00783D64" w:rsidRPr="004C45CE">
        <w:rPr>
          <w:rFonts w:ascii="Calibri" w:hAnsi="Calibri" w:cs="Calibri"/>
          <w:color w:val="001A70"/>
          <w:szCs w:val="20"/>
          <w:lang w:val="en-GB"/>
        </w:rPr>
        <w:t xml:space="preserve">as well as </w:t>
      </w:r>
      <w:r w:rsidR="00493E69" w:rsidRPr="004C45CE">
        <w:rPr>
          <w:rFonts w:ascii="Calibri" w:hAnsi="Calibri" w:cs="Calibri"/>
          <w:color w:val="001A70"/>
          <w:szCs w:val="20"/>
          <w:lang w:val="en-GB"/>
        </w:rPr>
        <w:t xml:space="preserve">promoting </w:t>
      </w:r>
      <w:r w:rsidR="00783D64" w:rsidRPr="004C45CE">
        <w:rPr>
          <w:rFonts w:ascii="Calibri" w:hAnsi="Calibri" w:cs="Calibri"/>
          <w:color w:val="001A70"/>
          <w:szCs w:val="20"/>
          <w:lang w:val="en-GB"/>
        </w:rPr>
        <w:t xml:space="preserve">EDF’s SMR </w:t>
      </w:r>
      <w:r w:rsidR="00575730" w:rsidRPr="004C45CE">
        <w:rPr>
          <w:rFonts w:ascii="Calibri" w:hAnsi="Calibri" w:cs="Calibri"/>
          <w:color w:val="001A70"/>
          <w:szCs w:val="20"/>
          <w:lang w:val="en-GB"/>
        </w:rPr>
        <w:t>NUWARD™ at Temelín</w:t>
      </w:r>
      <w:r w:rsidR="00027F71" w:rsidRPr="004C45CE">
        <w:rPr>
          <w:rFonts w:ascii="Calibri" w:hAnsi="Calibri" w:cs="Calibri"/>
          <w:color w:val="001A70"/>
          <w:szCs w:val="20"/>
          <w:lang w:val="en-GB"/>
        </w:rPr>
        <w:t>.</w:t>
      </w:r>
    </w:p>
    <w:p w14:paraId="382A2EA9" w14:textId="77777777" w:rsidR="00C47117" w:rsidRPr="004C45CE" w:rsidRDefault="00C47117" w:rsidP="00785137">
      <w:pPr>
        <w:pStyle w:val="Textecourant"/>
        <w:rPr>
          <w:rFonts w:ascii="Calibri" w:hAnsi="Calibri" w:cs="Calibri"/>
          <w:lang w:val="en-GB"/>
        </w:rPr>
      </w:pPr>
    </w:p>
    <w:p w14:paraId="61A46E23" w14:textId="40F3779D" w:rsidR="008264C3" w:rsidRPr="004C45CE" w:rsidRDefault="008264C3" w:rsidP="00785137">
      <w:pPr>
        <w:pStyle w:val="Textecourant"/>
        <w:rPr>
          <w:rFonts w:ascii="Calibri" w:hAnsi="Calibri" w:cs="Calibri"/>
          <w:lang w:val="en-GB"/>
        </w:rPr>
      </w:pPr>
      <w:r w:rsidRPr="004C45CE">
        <w:rPr>
          <w:rFonts w:ascii="Calibri" w:hAnsi="Calibri" w:cs="Calibri"/>
          <w:lang w:val="en-GB"/>
        </w:rPr>
        <w:t xml:space="preserve">In October 2022, EDF held its first </w:t>
      </w:r>
      <w:r w:rsidRPr="004C45CE">
        <w:rPr>
          <w:rFonts w:ascii="Calibri" w:hAnsi="Calibri" w:cs="Calibri"/>
          <w:b/>
          <w:bCs/>
          <w:lang w:val="en-GB"/>
        </w:rPr>
        <w:t>Czech Suppliers</w:t>
      </w:r>
      <w:r w:rsidR="004019F2" w:rsidRPr="004C45CE">
        <w:rPr>
          <w:rFonts w:ascii="Calibri" w:hAnsi="Calibri" w:cs="Calibri"/>
          <w:b/>
          <w:bCs/>
          <w:lang w:val="en-GB"/>
        </w:rPr>
        <w:t>’</w:t>
      </w:r>
      <w:r w:rsidRPr="004C45CE">
        <w:rPr>
          <w:rFonts w:ascii="Calibri" w:hAnsi="Calibri" w:cs="Calibri"/>
          <w:b/>
          <w:bCs/>
          <w:lang w:val="en-GB"/>
        </w:rPr>
        <w:t xml:space="preserve"> Academy</w:t>
      </w:r>
      <w:r w:rsidRPr="004C45CE">
        <w:rPr>
          <w:rFonts w:ascii="Calibri" w:hAnsi="Calibri" w:cs="Calibri"/>
          <w:lang w:val="en-GB"/>
        </w:rPr>
        <w:t xml:space="preserve">. This marks EDF’s commitment to provide </w:t>
      </w:r>
      <w:r w:rsidR="00D955FA" w:rsidRPr="004C45CE">
        <w:rPr>
          <w:rFonts w:ascii="Calibri" w:hAnsi="Calibri" w:cs="Calibri"/>
          <w:lang w:val="en-GB"/>
        </w:rPr>
        <w:t>its</w:t>
      </w:r>
      <w:r w:rsidRPr="004C45CE">
        <w:rPr>
          <w:rFonts w:ascii="Calibri" w:hAnsi="Calibri" w:cs="Calibri"/>
          <w:lang w:val="en-GB"/>
        </w:rPr>
        <w:t xml:space="preserve"> Czech partners and prospective suppliers with training on EDF’s safety culture, EPR1200 technology, </w:t>
      </w:r>
      <w:r w:rsidR="00D955FA" w:rsidRPr="004C45CE">
        <w:rPr>
          <w:rFonts w:ascii="Calibri" w:hAnsi="Calibri" w:cs="Calibri"/>
          <w:lang w:val="en-GB"/>
        </w:rPr>
        <w:t>as well the required</w:t>
      </w:r>
      <w:r w:rsidRPr="004C45CE">
        <w:rPr>
          <w:rFonts w:ascii="Calibri" w:hAnsi="Calibri" w:cs="Calibri"/>
          <w:lang w:val="en-GB"/>
        </w:rPr>
        <w:t xml:space="preserve"> codes, standards and practices</w:t>
      </w:r>
      <w:r w:rsidR="00D955FA" w:rsidRPr="004C45CE">
        <w:rPr>
          <w:rFonts w:ascii="Calibri" w:hAnsi="Calibri" w:cs="Calibri"/>
          <w:lang w:val="en-GB"/>
        </w:rPr>
        <w:t xml:space="preserve"> to become and EPR</w:t>
      </w:r>
      <w:r w:rsidR="004812AD" w:rsidRPr="004C45CE">
        <w:rPr>
          <w:rFonts w:ascii="Calibri" w:hAnsi="Calibri" w:cs="Calibri"/>
          <w:lang w:val="en-GB"/>
        </w:rPr>
        <w:t>1200 supplier.</w:t>
      </w:r>
    </w:p>
    <w:p w14:paraId="110C3942" w14:textId="77777777" w:rsidR="00947FEB" w:rsidRPr="004C45CE" w:rsidRDefault="00947FEB" w:rsidP="00785137">
      <w:pPr>
        <w:pStyle w:val="Textecourant"/>
        <w:rPr>
          <w:rFonts w:ascii="Calibri" w:hAnsi="Calibri" w:cs="Calibri"/>
          <w:lang w:val="en-GB"/>
        </w:rPr>
      </w:pPr>
    </w:p>
    <w:p w14:paraId="4B628B93" w14:textId="627BF744" w:rsidR="002711D2" w:rsidRDefault="00947FEB" w:rsidP="00785137">
      <w:pPr>
        <w:pStyle w:val="Textecourant"/>
        <w:rPr>
          <w:rFonts w:ascii="Calibri" w:hAnsi="Calibri" w:cs="Calibri"/>
          <w:lang w:val="en-GB"/>
        </w:rPr>
      </w:pPr>
      <w:r w:rsidRPr="004C45CE">
        <w:rPr>
          <w:rFonts w:ascii="Calibri" w:hAnsi="Calibri" w:cs="Calibri"/>
          <w:lang w:val="en-GB"/>
        </w:rPr>
        <w:t xml:space="preserve">In October 2023, EDF joined the </w:t>
      </w:r>
      <w:r w:rsidRPr="004C45CE">
        <w:rPr>
          <w:rFonts w:ascii="Calibri" w:hAnsi="Calibri" w:cs="Calibri"/>
          <w:b/>
          <w:bCs/>
          <w:lang w:val="en-GB"/>
        </w:rPr>
        <w:t>Czech-French Nuclear Academy</w:t>
      </w:r>
      <w:r w:rsidRPr="004C45CE">
        <w:rPr>
          <w:rFonts w:ascii="Calibri" w:hAnsi="Calibri" w:cs="Calibri"/>
          <w:lang w:val="en-GB"/>
        </w:rPr>
        <w:t>. The initiative, under the patronage of the French Embassy in Prague, will facilitate the creation of advanced vocational training programmes for Czech Industry with specific human capacity building resources managed through EDF’s Training Campus (UFPI).</w:t>
      </w:r>
      <w:bookmarkEnd w:id="0"/>
    </w:p>
    <w:p w14:paraId="48C9E8C2" w14:textId="04F33A64" w:rsidR="006B4356" w:rsidRDefault="006B4356" w:rsidP="00785137">
      <w:pPr>
        <w:pStyle w:val="Textecourant"/>
        <w:rPr>
          <w:rFonts w:ascii="Calibri" w:hAnsi="Calibri" w:cs="Calibri"/>
          <w:lang w:val="en-GB"/>
        </w:rPr>
      </w:pPr>
    </w:p>
    <w:p w14:paraId="0213AEA0" w14:textId="42931C82" w:rsidR="006B4356" w:rsidRDefault="006B4356" w:rsidP="006B4356">
      <w:pPr>
        <w:pStyle w:val="Textecourant"/>
        <w:rPr>
          <w:rFonts w:ascii="Calibri" w:hAnsi="Calibri" w:cs="Calibri"/>
          <w:lang w:val="en-GB"/>
        </w:rPr>
      </w:pPr>
      <w:r>
        <w:rPr>
          <w:rFonts w:ascii="Calibri" w:hAnsi="Calibri" w:cs="Calibri"/>
          <w:lang w:val="en-GB"/>
        </w:rPr>
        <w:t>On March 5</w:t>
      </w:r>
      <w:r w:rsidRPr="006B4356">
        <w:rPr>
          <w:rFonts w:ascii="Calibri" w:hAnsi="Calibri" w:cs="Calibri"/>
          <w:vertAlign w:val="superscript"/>
          <w:lang w:val="en-GB"/>
        </w:rPr>
        <w:t>th</w:t>
      </w:r>
      <w:r>
        <w:rPr>
          <w:rFonts w:ascii="Calibri" w:hAnsi="Calibri" w:cs="Calibri"/>
          <w:lang w:val="en-GB"/>
        </w:rPr>
        <w:t xml:space="preserve"> 2024, </w:t>
      </w:r>
      <w:r w:rsidRPr="006B4356">
        <w:rPr>
          <w:rFonts w:ascii="Calibri" w:hAnsi="Calibri" w:cs="Calibri"/>
          <w:lang w:val="en-GB"/>
        </w:rPr>
        <w:t xml:space="preserve">EDF and the French government organized a </w:t>
      </w:r>
      <w:r w:rsidRPr="006B4356">
        <w:rPr>
          <w:rFonts w:ascii="Calibri" w:hAnsi="Calibri" w:cs="Calibri"/>
          <w:b/>
          <w:bCs/>
          <w:lang w:val="en-GB"/>
        </w:rPr>
        <w:t>Czech-French Nuclear Forum</w:t>
      </w:r>
      <w:r w:rsidRPr="006B4356">
        <w:rPr>
          <w:rFonts w:ascii="Calibri" w:hAnsi="Calibri" w:cs="Calibri"/>
          <w:lang w:val="en-GB"/>
        </w:rPr>
        <w:t xml:space="preserve"> in Prague in presence of the French President Emmanuel Macron, EDF Chairman and CEO and the key representatives of French major players: CEA, </w:t>
      </w:r>
      <w:proofErr w:type="spellStart"/>
      <w:r w:rsidRPr="006B4356">
        <w:rPr>
          <w:rFonts w:ascii="Calibri" w:hAnsi="Calibri" w:cs="Calibri"/>
          <w:lang w:val="en-GB"/>
        </w:rPr>
        <w:t>Framatome</w:t>
      </w:r>
      <w:proofErr w:type="spellEnd"/>
      <w:r w:rsidRPr="006B4356">
        <w:rPr>
          <w:rFonts w:ascii="Calibri" w:hAnsi="Calibri" w:cs="Calibri"/>
          <w:lang w:val="en-GB"/>
        </w:rPr>
        <w:t xml:space="preserve"> and </w:t>
      </w:r>
      <w:proofErr w:type="spellStart"/>
      <w:r w:rsidRPr="006B4356">
        <w:rPr>
          <w:rFonts w:ascii="Calibri" w:hAnsi="Calibri" w:cs="Calibri"/>
          <w:lang w:val="en-GB"/>
        </w:rPr>
        <w:t>Orano</w:t>
      </w:r>
      <w:proofErr w:type="spellEnd"/>
      <w:r w:rsidRPr="006B4356">
        <w:rPr>
          <w:rFonts w:ascii="Calibri" w:hAnsi="Calibri" w:cs="Calibri"/>
          <w:lang w:val="en-GB"/>
        </w:rPr>
        <w:t>, as well as potential Czech partners</w:t>
      </w:r>
      <w:r>
        <w:rPr>
          <w:rFonts w:ascii="Calibri" w:hAnsi="Calibri" w:cs="Calibri"/>
          <w:lang w:val="en-GB"/>
        </w:rPr>
        <w:t>. The forum served as an opportunity for the French government to reiterate its full support for the enhancement of Czech-French relations in nuclear power development in Europe and underline the strategic impact of EDF’s offer in cementing a European “Nuclear Airbus” around the Czech-French partnership.</w:t>
      </w:r>
    </w:p>
    <w:p w14:paraId="20B98603" w14:textId="506AFCC5" w:rsidR="006B4356" w:rsidRDefault="006B4356" w:rsidP="006B4356">
      <w:pPr>
        <w:pStyle w:val="Textecourant"/>
        <w:rPr>
          <w:rFonts w:ascii="Calibri" w:hAnsi="Calibri" w:cs="Calibri"/>
          <w:lang w:val="en-GB"/>
        </w:rPr>
      </w:pPr>
    </w:p>
    <w:p w14:paraId="336FE3FD" w14:textId="0CBD9233" w:rsidR="006B4356" w:rsidRDefault="006B4356" w:rsidP="006B4356">
      <w:pPr>
        <w:pStyle w:val="Textecourant"/>
        <w:rPr>
          <w:rFonts w:ascii="Calibri" w:hAnsi="Calibri" w:cs="Calibri"/>
          <w:lang w:val="en-GB"/>
        </w:rPr>
      </w:pPr>
      <w:r>
        <w:rPr>
          <w:rFonts w:ascii="Calibri" w:hAnsi="Calibri" w:cs="Calibri"/>
          <w:lang w:val="en-GB"/>
        </w:rPr>
        <w:t>O</w:t>
      </w:r>
      <w:r w:rsidRPr="006B4356">
        <w:rPr>
          <w:rFonts w:ascii="Calibri" w:hAnsi="Calibri" w:cs="Calibri"/>
          <w:lang w:val="en-GB"/>
        </w:rPr>
        <w:t xml:space="preserve">n April </w:t>
      </w:r>
      <w:r>
        <w:rPr>
          <w:rFonts w:ascii="Calibri" w:hAnsi="Calibri" w:cs="Calibri"/>
          <w:lang w:val="en-GB"/>
        </w:rPr>
        <w:t>4</w:t>
      </w:r>
      <w:r w:rsidRPr="006B4356">
        <w:rPr>
          <w:rFonts w:ascii="Calibri" w:hAnsi="Calibri" w:cs="Calibri"/>
          <w:vertAlign w:val="superscript"/>
          <w:lang w:val="en-GB"/>
        </w:rPr>
        <w:t>th</w:t>
      </w:r>
      <w:r>
        <w:rPr>
          <w:rFonts w:ascii="Calibri" w:hAnsi="Calibri" w:cs="Calibri"/>
          <w:lang w:val="en-GB"/>
        </w:rPr>
        <w:t xml:space="preserve"> </w:t>
      </w:r>
      <w:r w:rsidRPr="006B4356">
        <w:rPr>
          <w:rFonts w:ascii="Calibri" w:hAnsi="Calibri" w:cs="Calibri"/>
          <w:lang w:val="en-GB"/>
        </w:rPr>
        <w:t xml:space="preserve">2024 </w:t>
      </w:r>
      <w:r>
        <w:rPr>
          <w:rFonts w:ascii="Calibri" w:hAnsi="Calibri" w:cs="Calibri"/>
          <w:lang w:val="en-GB"/>
        </w:rPr>
        <w:t>took place</w:t>
      </w:r>
      <w:r w:rsidRPr="006B4356">
        <w:rPr>
          <w:rFonts w:ascii="Calibri" w:hAnsi="Calibri" w:cs="Calibri"/>
          <w:lang w:val="en-GB"/>
        </w:rPr>
        <w:t xml:space="preserve"> the </w:t>
      </w:r>
      <w:r w:rsidRPr="006B4356">
        <w:rPr>
          <w:rFonts w:ascii="Calibri" w:hAnsi="Calibri" w:cs="Calibri"/>
          <w:b/>
          <w:bCs/>
          <w:lang w:val="en-GB"/>
        </w:rPr>
        <w:t>third edition of the Czech-French Nuclear Summit</w:t>
      </w:r>
      <w:r w:rsidRPr="006B4356">
        <w:rPr>
          <w:rFonts w:ascii="Calibri" w:hAnsi="Calibri" w:cs="Calibri"/>
          <w:lang w:val="en-GB"/>
        </w:rPr>
        <w:t>, organized by CPIA and GIFEN in Prague, which attracted a record number of Czech and French industrial players, well beyond the traditional scope of CPIA. This session allowed to further advance the relationship building between Czech and French industry and envisage concrete actions on how to collaborate in the first phase of execution of the Czech nuclear programme, if EDF’s offer were to be selected as Preferred Bidder</w:t>
      </w:r>
      <w:r w:rsidR="00076E09">
        <w:rPr>
          <w:rFonts w:ascii="Calibri" w:hAnsi="Calibri" w:cs="Calibri"/>
          <w:lang w:val="en-GB"/>
        </w:rPr>
        <w:t>.</w:t>
      </w:r>
    </w:p>
    <w:p w14:paraId="0A9ABD02" w14:textId="5F9E6D51" w:rsidR="006B4356" w:rsidRDefault="006B4356" w:rsidP="006B4356">
      <w:pPr>
        <w:pStyle w:val="Textecourant"/>
        <w:rPr>
          <w:rFonts w:ascii="Calibri" w:hAnsi="Calibri" w:cs="Calibri"/>
          <w:lang w:val="en-GB"/>
        </w:rPr>
      </w:pPr>
    </w:p>
    <w:p w14:paraId="5BD49E81" w14:textId="75DB8E84" w:rsidR="00076E09" w:rsidRPr="004C45CE" w:rsidRDefault="00076E09" w:rsidP="00076E09">
      <w:pPr>
        <w:pStyle w:val="Textecourant"/>
        <w:rPr>
          <w:rFonts w:ascii="Calibri" w:hAnsi="Calibri" w:cs="Calibri"/>
          <w:lang w:val="en-GB"/>
        </w:rPr>
      </w:pPr>
      <w:r w:rsidRPr="00076E09">
        <w:rPr>
          <w:rFonts w:ascii="Calibri" w:hAnsi="Calibri" w:cs="Calibri"/>
          <w:lang w:val="en-GB"/>
        </w:rPr>
        <w:lastRenderedPageBreak/>
        <w:t xml:space="preserve">On June </w:t>
      </w:r>
      <w:r w:rsidR="00FA27E2">
        <w:rPr>
          <w:rFonts w:ascii="Calibri" w:hAnsi="Calibri" w:cs="Calibri"/>
          <w:lang w:val="en-GB"/>
        </w:rPr>
        <w:t>4</w:t>
      </w:r>
      <w:r w:rsidRPr="00076E09">
        <w:rPr>
          <w:rFonts w:ascii="Calibri" w:hAnsi="Calibri" w:cs="Calibri"/>
          <w:lang w:val="en-GB"/>
        </w:rPr>
        <w:t xml:space="preserve">, 2024, EDF will host the inaugural </w:t>
      </w:r>
      <w:r w:rsidRPr="00076E09">
        <w:rPr>
          <w:rFonts w:ascii="Calibri" w:hAnsi="Calibri" w:cs="Calibri"/>
          <w:b/>
          <w:bCs/>
          <w:lang w:val="en-GB"/>
        </w:rPr>
        <w:t>EDF European Nuclear Suppliers’ Day</w:t>
      </w:r>
      <w:r>
        <w:rPr>
          <w:rFonts w:ascii="Calibri" w:hAnsi="Calibri" w:cs="Calibri"/>
          <w:b/>
          <w:bCs/>
          <w:lang w:val="en-GB"/>
        </w:rPr>
        <w:t>s</w:t>
      </w:r>
      <w:r w:rsidRPr="00076E09">
        <w:rPr>
          <w:rFonts w:ascii="Calibri" w:hAnsi="Calibri" w:cs="Calibri"/>
          <w:lang w:val="en-GB"/>
        </w:rPr>
        <w:t xml:space="preserve"> in Paris. This event is expected to attract a significant number of current and prospective Czech industrial partners. It will offer an in-depth view of EDF’s strategies for its growing nuclear fleet in Europe and provide Czech industrial entities opportunities to engage with their counterparts who are already part of EDF’s European supply chain</w:t>
      </w:r>
      <w:r>
        <w:rPr>
          <w:rFonts w:ascii="Calibri" w:hAnsi="Calibri" w:cs="Calibri"/>
          <w:lang w:val="en-GB"/>
        </w:rPr>
        <w:t xml:space="preserve"> </w:t>
      </w:r>
      <w:r w:rsidRPr="00076E09">
        <w:rPr>
          <w:rFonts w:ascii="Calibri" w:hAnsi="Calibri" w:cs="Calibri"/>
          <w:lang w:val="en-GB"/>
        </w:rPr>
        <w:t xml:space="preserve">for </w:t>
      </w:r>
      <w:r>
        <w:rPr>
          <w:rFonts w:ascii="Calibri" w:hAnsi="Calibri" w:cs="Calibri"/>
          <w:lang w:val="en-GB"/>
        </w:rPr>
        <w:t xml:space="preserve">ongoing and </w:t>
      </w:r>
      <w:r w:rsidRPr="00076E09">
        <w:rPr>
          <w:rFonts w:ascii="Calibri" w:hAnsi="Calibri" w:cs="Calibri"/>
          <w:lang w:val="en-GB"/>
        </w:rPr>
        <w:t>future EPR and Nuward SMR projects across Europe.</w:t>
      </w:r>
    </w:p>
    <w:sectPr w:rsidR="00076E09" w:rsidRPr="004C45CE" w:rsidSect="00314B8D">
      <w:headerReference w:type="default" r:id="rId11"/>
      <w:footerReference w:type="even" r:id="rId12"/>
      <w:footerReference w:type="default" r:id="rId13"/>
      <w:headerReference w:type="first" r:id="rId14"/>
      <w:footerReference w:type="first" r:id="rId15"/>
      <w:pgSz w:w="11906" w:h="16838" w:code="9"/>
      <w:pgMar w:top="2160" w:right="851" w:bottom="284" w:left="851" w:header="646" w:footer="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470B6" w14:textId="77777777" w:rsidR="00314B8D" w:rsidRDefault="00314B8D" w:rsidP="00535B90">
      <w:r>
        <w:separator/>
      </w:r>
    </w:p>
    <w:p w14:paraId="0504A780" w14:textId="77777777" w:rsidR="00314B8D" w:rsidRDefault="00314B8D"/>
  </w:endnote>
  <w:endnote w:type="continuationSeparator" w:id="0">
    <w:p w14:paraId="28675848" w14:textId="77777777" w:rsidR="00314B8D" w:rsidRDefault="00314B8D" w:rsidP="00535B90">
      <w:r>
        <w:continuationSeparator/>
      </w:r>
    </w:p>
    <w:p w14:paraId="1FB285E5" w14:textId="77777777" w:rsidR="00314B8D" w:rsidRDefault="00314B8D"/>
  </w:endnote>
  <w:endnote w:type="continuationNotice" w:id="1">
    <w:p w14:paraId="61594557" w14:textId="77777777" w:rsidR="00314B8D" w:rsidRDefault="00314B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53EE1" w14:textId="77777777" w:rsidR="0078520F" w:rsidRDefault="0078520F" w:rsidP="00B511C9">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end"/>
    </w:r>
  </w:p>
  <w:p w14:paraId="12C9F69D" w14:textId="77777777" w:rsidR="0060794F" w:rsidRDefault="0060794F" w:rsidP="0078520F">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F126" w14:textId="4E4EB632" w:rsidR="00AC4973" w:rsidRPr="0078520F" w:rsidRDefault="00AC4973" w:rsidP="00AC4973">
    <w:pPr>
      <w:pStyle w:val="Pieddepage"/>
      <w:tabs>
        <w:tab w:val="left" w:pos="4072"/>
      </w:tabs>
      <w:rPr>
        <w:sz w:val="16"/>
        <w:szCs w:val="16"/>
      </w:rPr>
    </w:pPr>
  </w:p>
  <w:tbl>
    <w:tblPr>
      <w:tblStyle w:val="Grilledutableau"/>
      <w:tblW w:w="10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top w:w="57" w:type="dxa"/>
        <w:left w:w="312" w:type="dxa"/>
        <w:right w:w="0" w:type="dxa"/>
      </w:tblCellMar>
      <w:tblLook w:val="04A0" w:firstRow="1" w:lastRow="0" w:firstColumn="1" w:lastColumn="0" w:noHBand="0" w:noVBand="1"/>
    </w:tblPr>
    <w:tblGrid>
      <w:gridCol w:w="6642"/>
      <w:gridCol w:w="474"/>
      <w:gridCol w:w="3525"/>
    </w:tblGrid>
    <w:tr w:rsidR="00AC4973" w:rsidRPr="00DA6F2E" w14:paraId="62DEBDDD" w14:textId="77777777">
      <w:trPr>
        <w:trHeight w:hRule="exact" w:val="560"/>
      </w:trPr>
      <w:tc>
        <w:tcPr>
          <w:tcW w:w="10641" w:type="dxa"/>
          <w:gridSpan w:val="3"/>
          <w:shd w:val="clear" w:color="auto" w:fill="auto"/>
        </w:tcPr>
        <w:p w14:paraId="2988096F" w14:textId="77777777" w:rsidR="00AC4973" w:rsidRPr="00DA6F2E" w:rsidRDefault="00AC4973" w:rsidP="00AC4973">
          <w:pPr>
            <w:rPr>
              <w:color w:val="FFFFFF" w:themeColor="background1"/>
              <w:sz w:val="11"/>
              <w:szCs w:val="11"/>
            </w:rPr>
          </w:pPr>
        </w:p>
      </w:tc>
    </w:tr>
    <w:tr w:rsidR="00AC4973" w:rsidRPr="00D54958" w14:paraId="3A8CA74A" w14:textId="77777777">
      <w:trPr>
        <w:trHeight w:hRule="exact" w:val="1619"/>
      </w:trPr>
      <w:tc>
        <w:tcPr>
          <w:tcW w:w="6642" w:type="dxa"/>
          <w:shd w:val="clear" w:color="auto" w:fill="auto"/>
        </w:tcPr>
        <w:p w14:paraId="679205A9" w14:textId="243D92FB" w:rsidR="00AC4973" w:rsidRPr="005B72A3" w:rsidRDefault="00AC4973" w:rsidP="004B11DF">
          <w:pPr>
            <w:pStyle w:val="Textepieddepage"/>
            <w:framePr w:w="0" w:hRule="auto" w:wrap="auto" w:vAnchor="margin" w:hAnchor="text" w:xAlign="left" w:yAlign="inline"/>
            <w:spacing w:line="240" w:lineRule="auto"/>
            <w:ind w:left="-318"/>
            <w:rPr>
              <w:color w:val="FFFFFF" w:themeColor="background1"/>
              <w:szCs w:val="16"/>
            </w:rPr>
          </w:pPr>
          <w:r>
            <w:rPr>
              <w:rFonts w:asciiTheme="majorHAnsi" w:hAnsiTheme="majorHAnsi"/>
              <w:b/>
              <w:bCs/>
              <w:noProof/>
              <w:color w:val="FFFFFF" w:themeColor="background1"/>
              <w:szCs w:val="16"/>
              <w:lang w:val="fr-FR" w:eastAsia="fr-FR"/>
            </w:rPr>
            <mc:AlternateContent>
              <mc:Choice Requires="wps">
                <w:drawing>
                  <wp:anchor distT="0" distB="0" distL="114300" distR="114300" simplePos="0" relativeHeight="251658241" behindDoc="1" locked="0" layoutInCell="1" allowOverlap="1" wp14:anchorId="1613E874" wp14:editId="0A987824">
                    <wp:simplePos x="0" y="0"/>
                    <wp:positionH relativeFrom="column">
                      <wp:posOffset>-725805</wp:posOffset>
                    </wp:positionH>
                    <wp:positionV relativeFrom="paragraph">
                      <wp:posOffset>-378036</wp:posOffset>
                    </wp:positionV>
                    <wp:extent cx="7700010" cy="2524266"/>
                    <wp:effectExtent l="12700" t="12700" r="8890" b="15875"/>
                    <wp:wrapNone/>
                    <wp:docPr id="10" name="Rectangle 10"/>
                    <wp:cNvGraphicFramePr/>
                    <a:graphic xmlns:a="http://schemas.openxmlformats.org/drawingml/2006/main">
                      <a:graphicData uri="http://schemas.microsoft.com/office/word/2010/wordprocessingShape">
                        <wps:wsp>
                          <wps:cNvSpPr/>
                          <wps:spPr>
                            <a:xfrm>
                              <a:off x="0" y="0"/>
                              <a:ext cx="7700010" cy="252426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w16du="http://schemas.microsoft.com/office/word/2023/wordml/word16du">
                <w:pict>
                  <v:rect w14:anchorId="6D0E8204" id="Rectangle 10" o:spid="_x0000_s1026" style="position:absolute;margin-left:-57.15pt;margin-top:-29.75pt;width:606.3pt;height:198.7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" fillcolor="#001a70 [3204]" strokecolor="#000c37 [1604]" strokeweight="2pt"/>
                </w:pict>
              </mc:Fallback>
            </mc:AlternateContent>
          </w:r>
          <w:r>
            <w:rPr>
              <w:color w:val="FFFFFF" w:themeColor="background1"/>
              <w:szCs w:val="16"/>
            </w:rPr>
            <w:t xml:space="preserve">Tuto tiskovou zprávu tiskněte pouze v případě potřeby. </w:t>
          </w:r>
        </w:p>
        <w:p w14:paraId="67F0087F" w14:textId="77777777" w:rsidR="00AC4973" w:rsidRPr="0078365C" w:rsidRDefault="00AC4973" w:rsidP="00AC4973">
          <w:pPr>
            <w:pStyle w:val="Textepieddepage"/>
            <w:framePr w:w="0" w:hRule="auto" w:wrap="auto" w:vAnchor="margin" w:hAnchor="text" w:xAlign="left" w:yAlign="inline"/>
            <w:spacing w:line="240" w:lineRule="auto"/>
            <w:ind w:left="-318"/>
            <w:rPr>
              <w:color w:val="FFFFFF" w:themeColor="background1"/>
              <w:szCs w:val="16"/>
            </w:rPr>
          </w:pPr>
        </w:p>
        <w:p w14:paraId="6CCCB760" w14:textId="77777777" w:rsidR="004B26F5" w:rsidRPr="004B26F5" w:rsidRDefault="004B26F5" w:rsidP="004B26F5">
          <w:pPr>
            <w:pStyle w:val="Textepieddepage"/>
            <w:framePr w:wrap="notBeside"/>
            <w:tabs>
              <w:tab w:val="left" w:pos="971"/>
            </w:tabs>
            <w:spacing w:line="240" w:lineRule="auto"/>
            <w:ind w:left="-318"/>
            <w:rPr>
              <w:b/>
              <w:bCs/>
              <w:color w:val="FFFFFF" w:themeColor="background1"/>
              <w:szCs w:val="16"/>
            </w:rPr>
          </w:pPr>
          <w:r>
            <w:rPr>
              <w:b/>
              <w:bCs/>
              <w:color w:val="FFFFFF" w:themeColor="background1"/>
              <w:szCs w:val="16"/>
            </w:rPr>
            <w:t>EDF SA</w:t>
          </w:r>
        </w:p>
        <w:p w14:paraId="04A3D6D0" w14:textId="77777777" w:rsidR="004B26F5" w:rsidRPr="004B26F5" w:rsidRDefault="004B26F5" w:rsidP="004B26F5">
          <w:pPr>
            <w:pStyle w:val="Textepieddepage"/>
            <w:framePr w:wrap="notBeside"/>
            <w:tabs>
              <w:tab w:val="left" w:pos="971"/>
            </w:tabs>
            <w:spacing w:line="240" w:lineRule="auto"/>
            <w:ind w:left="-318"/>
            <w:rPr>
              <w:color w:val="FFFFFF" w:themeColor="background1"/>
              <w:szCs w:val="16"/>
            </w:rPr>
          </w:pPr>
          <w:r>
            <w:rPr>
              <w:color w:val="FFFFFF" w:themeColor="background1"/>
              <w:szCs w:val="16"/>
            </w:rPr>
            <w:t>22-30 avenue de Wagram</w:t>
          </w:r>
        </w:p>
        <w:p w14:paraId="1C74A3A2" w14:textId="77777777" w:rsidR="004B26F5" w:rsidRPr="004B26F5" w:rsidRDefault="004B26F5" w:rsidP="004B26F5">
          <w:pPr>
            <w:pStyle w:val="Textepieddepage"/>
            <w:framePr w:wrap="notBeside"/>
            <w:tabs>
              <w:tab w:val="left" w:pos="971"/>
            </w:tabs>
            <w:spacing w:line="240" w:lineRule="auto"/>
            <w:ind w:left="-318"/>
            <w:rPr>
              <w:color w:val="FFFFFF" w:themeColor="background1"/>
              <w:szCs w:val="16"/>
            </w:rPr>
          </w:pPr>
          <w:r>
            <w:rPr>
              <w:color w:val="FFFFFF" w:themeColor="background1"/>
              <w:szCs w:val="16"/>
            </w:rPr>
            <w:t xml:space="preserve">75382 Paris cedex 08 - Francie </w:t>
          </w:r>
        </w:p>
        <w:p w14:paraId="1167866F" w14:textId="77777777" w:rsidR="0092143B" w:rsidRPr="00431FF3" w:rsidRDefault="004B26F5" w:rsidP="0092143B">
          <w:pPr>
            <w:pStyle w:val="Textepieddepage"/>
            <w:framePr w:w="0" w:hRule="auto" w:wrap="auto" w:vAnchor="margin" w:hAnchor="text" w:xAlign="left" w:yAlign="inline"/>
            <w:tabs>
              <w:tab w:val="left" w:pos="971"/>
            </w:tabs>
            <w:spacing w:line="240" w:lineRule="auto"/>
            <w:ind w:left="-318"/>
            <w:rPr>
              <w:color w:val="FFFFFF" w:themeColor="background1"/>
              <w:szCs w:val="16"/>
            </w:rPr>
          </w:pPr>
          <w:r>
            <w:rPr>
              <w:color w:val="FFFFFF" w:themeColor="background1"/>
              <w:szCs w:val="16"/>
            </w:rPr>
            <w:t xml:space="preserve">Kapitál ve výši 1 </w:t>
          </w:r>
          <w:r>
            <w:rPr>
              <w:color w:val="FFFFFF" w:themeColor="background1"/>
            </w:rPr>
            <w:t xml:space="preserve">934 240 171,50 </w:t>
          </w:r>
          <w:r>
            <w:rPr>
              <w:color w:val="FFFFFF" w:themeColor="background1"/>
              <w:szCs w:val="16"/>
            </w:rPr>
            <w:t>eur</w:t>
          </w:r>
        </w:p>
        <w:p w14:paraId="09FEA21B" w14:textId="77777777" w:rsidR="004B26F5" w:rsidRPr="00456622" w:rsidRDefault="004B26F5" w:rsidP="004B26F5">
          <w:pPr>
            <w:pStyle w:val="Textepieddepage"/>
            <w:framePr w:wrap="notBeside"/>
            <w:tabs>
              <w:tab w:val="left" w:pos="971"/>
            </w:tabs>
            <w:spacing w:line="240" w:lineRule="auto"/>
            <w:ind w:left="-318"/>
            <w:rPr>
              <w:color w:val="FFFFFF" w:themeColor="background1"/>
              <w:szCs w:val="16"/>
            </w:rPr>
          </w:pPr>
          <w:r>
            <w:rPr>
              <w:color w:val="FFFFFF" w:themeColor="background1"/>
              <w:szCs w:val="16"/>
            </w:rPr>
            <w:t>552 081 317 R.C.S. Paris</w:t>
          </w:r>
        </w:p>
        <w:p w14:paraId="544C7FC6" w14:textId="089DAEA5" w:rsidR="00AC4973" w:rsidRPr="00DA6F2E" w:rsidRDefault="004B26F5" w:rsidP="004B26F5">
          <w:pPr>
            <w:pStyle w:val="Textepieddepage"/>
            <w:framePr w:w="0" w:hRule="auto" w:wrap="auto" w:vAnchor="margin" w:hAnchor="text" w:xAlign="left" w:yAlign="inline"/>
            <w:spacing w:line="240" w:lineRule="auto"/>
            <w:ind w:left="-318"/>
            <w:rPr>
              <w:color w:val="FFFFFF" w:themeColor="background1"/>
              <w:szCs w:val="16"/>
            </w:rPr>
          </w:pPr>
          <w:r>
            <w:rPr>
              <w:color w:val="FFFFFF" w:themeColor="background1"/>
              <w:szCs w:val="16"/>
            </w:rPr>
            <w:t>www.edf.fr</w:t>
          </w:r>
        </w:p>
      </w:tc>
      <w:tc>
        <w:tcPr>
          <w:tcW w:w="474" w:type="dxa"/>
          <w:shd w:val="clear" w:color="auto" w:fill="auto"/>
        </w:tcPr>
        <w:p w14:paraId="15CEAF97" w14:textId="77777777" w:rsidR="00AC4973" w:rsidRPr="00DA6F2E" w:rsidRDefault="00AC4973" w:rsidP="00AC4973">
          <w:pPr>
            <w:spacing w:line="240" w:lineRule="auto"/>
            <w:rPr>
              <w:color w:val="FFFFFF" w:themeColor="background1"/>
              <w:sz w:val="16"/>
              <w:szCs w:val="16"/>
            </w:rPr>
          </w:pPr>
        </w:p>
      </w:tc>
      <w:tc>
        <w:tcPr>
          <w:tcW w:w="3525" w:type="dxa"/>
          <w:shd w:val="clear" w:color="auto" w:fill="auto"/>
        </w:tcPr>
        <w:p w14:paraId="3532F378" w14:textId="77777777" w:rsidR="00AC4973" w:rsidRPr="00456622" w:rsidRDefault="00AC4973" w:rsidP="00AC4973">
          <w:pPr>
            <w:pStyle w:val="Titrecontacts"/>
            <w:framePr w:w="0" w:hRule="auto" w:wrap="auto" w:vAnchor="margin" w:hAnchor="text" w:xAlign="left" w:yAlign="inline"/>
            <w:spacing w:line="240" w:lineRule="auto"/>
            <w:ind w:left="-199"/>
            <w:rPr>
              <w:sz w:val="16"/>
              <w:szCs w:val="16"/>
            </w:rPr>
          </w:pPr>
          <w:r>
            <w:rPr>
              <w:sz w:val="16"/>
              <w:szCs w:val="16"/>
            </w:rPr>
            <w:t>Kontakty</w:t>
          </w:r>
        </w:p>
        <w:p w14:paraId="7EB32499" w14:textId="77777777" w:rsidR="00AC4973" w:rsidRPr="00456622" w:rsidRDefault="00AC4973" w:rsidP="00AC4973">
          <w:pPr>
            <w:pStyle w:val="Titrecontacts"/>
            <w:framePr w:w="0" w:hRule="auto" w:wrap="auto" w:vAnchor="margin" w:hAnchor="text" w:xAlign="left" w:yAlign="inline"/>
            <w:spacing w:line="240" w:lineRule="auto"/>
            <w:ind w:left="-199"/>
            <w:rPr>
              <w:sz w:val="16"/>
              <w:szCs w:val="16"/>
              <w:lang w:val="en-US"/>
            </w:rPr>
          </w:pPr>
        </w:p>
        <w:p w14:paraId="77FCBDDE" w14:textId="5D151ADF" w:rsidR="00A751BE" w:rsidRDefault="00A751BE" w:rsidP="00A751BE">
          <w:pPr>
            <w:pStyle w:val="Titrecontacts"/>
            <w:framePr w:w="0" w:h="0" w:wrap="auto" w:vAnchor="margin" w:hAnchor="text" w:xAlign="left" w:yAlign="inline"/>
            <w:spacing w:line="240" w:lineRule="auto"/>
            <w:ind w:left="-199"/>
            <w:rPr>
              <w:sz w:val="16"/>
              <w:szCs w:val="16"/>
            </w:rPr>
          </w:pPr>
          <w:r>
            <w:rPr>
              <w:sz w:val="16"/>
              <w:szCs w:val="16"/>
            </w:rPr>
            <w:t xml:space="preserve">Tisk: </w:t>
          </w:r>
          <w:r>
            <w:rPr>
              <w:b w:val="0"/>
              <w:sz w:val="16"/>
              <w:szCs w:val="16"/>
            </w:rPr>
            <w:br/>
            <w:t>+33 (0) 1 40 42 46 37</w:t>
          </w:r>
        </w:p>
        <w:p w14:paraId="360CE3A9" w14:textId="77777777" w:rsidR="00A751BE" w:rsidRDefault="00A751BE" w:rsidP="00A751BE">
          <w:pPr>
            <w:pStyle w:val="Titrecontacts"/>
            <w:framePr w:w="0" w:h="0" w:wrap="auto" w:vAnchor="margin" w:hAnchor="text" w:xAlign="left" w:yAlign="inline"/>
            <w:spacing w:line="240" w:lineRule="auto"/>
            <w:ind w:left="-199"/>
            <w:rPr>
              <w:sz w:val="16"/>
              <w:szCs w:val="16"/>
              <w:lang w:val="en-US"/>
            </w:rPr>
          </w:pPr>
        </w:p>
        <w:p w14:paraId="0B5798C6" w14:textId="0C170F87" w:rsidR="00AC4973" w:rsidRPr="00A751BE" w:rsidRDefault="00A751BE" w:rsidP="00A751BE">
          <w:pPr>
            <w:pStyle w:val="Titrecontacts"/>
            <w:framePr w:w="0" w:h="0" w:wrap="auto" w:vAnchor="margin" w:hAnchor="text" w:xAlign="left" w:yAlign="inline"/>
            <w:spacing w:line="240" w:lineRule="auto"/>
            <w:ind w:left="-199"/>
            <w:rPr>
              <w:b w:val="0"/>
              <w:sz w:val="16"/>
              <w:szCs w:val="16"/>
            </w:rPr>
          </w:pPr>
          <w:r>
            <w:rPr>
              <w:rFonts w:ascii="Arial" w:hAnsi="Arial"/>
              <w:color w:val="FFFFFF"/>
              <w:sz w:val="16"/>
              <w:szCs w:val="16"/>
            </w:rPr>
            <w:t xml:space="preserve">Analytici a investoři: </w:t>
          </w:r>
          <w:r>
            <w:rPr>
              <w:rFonts w:ascii="Arial" w:hAnsi="Arial"/>
              <w:color w:val="FFFFFF"/>
              <w:sz w:val="16"/>
              <w:szCs w:val="16"/>
            </w:rPr>
            <w:br/>
            <w:t>+33 (0) 1 40 42 78 36</w:t>
          </w:r>
        </w:p>
      </w:tc>
    </w:tr>
  </w:tbl>
  <w:p w14:paraId="5C391CD4" w14:textId="77777777" w:rsidR="00AC4973" w:rsidRPr="00456622" w:rsidRDefault="00AC4973" w:rsidP="00AC4973">
    <w:pPr>
      <w:pStyle w:val="Pieddepage"/>
      <w:rPr>
        <w:color w:val="FFFFFF" w:themeColor="background1"/>
        <w:lang w:val="en-US"/>
      </w:rPr>
    </w:pPr>
  </w:p>
  <w:p w14:paraId="1E15DE53" w14:textId="695A09DA" w:rsidR="0078520F" w:rsidRPr="00456622" w:rsidRDefault="0078520F" w:rsidP="00AC4973">
    <w:pPr>
      <w:pStyle w:val="Pieddepage"/>
      <w:tabs>
        <w:tab w:val="left" w:pos="4072"/>
      </w:tabs>
      <w:rPr>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A723" w14:textId="105CAC67" w:rsidR="00AC4973" w:rsidRDefault="00AC4973" w:rsidP="00AC4973">
    <w:pPr>
      <w:pStyle w:val="Pieddepage"/>
      <w:rPr>
        <w:rFonts w:asciiTheme="majorHAnsi" w:eastAsiaTheme="majorEastAsia" w:hAnsiTheme="majorHAnsi" w:cstheme="majorBidi"/>
        <w:color w:val="001A70" w:themeColor="accent1"/>
        <w:sz w:val="16"/>
        <w:szCs w:val="16"/>
      </w:rPr>
    </w:pPr>
    <w:r w:rsidRPr="0078520F">
      <w:rPr>
        <w:rFonts w:eastAsiaTheme="minorEastAsia"/>
        <w:b/>
        <w:bCs/>
        <w:color w:val="001A70" w:themeColor="accent1"/>
        <w:sz w:val="16"/>
        <w:szCs w:val="16"/>
      </w:rPr>
      <w:fldChar w:fldCharType="begin"/>
    </w:r>
    <w:r w:rsidRPr="0078520F">
      <w:rPr>
        <w:b/>
        <w:bCs/>
        <w:color w:val="001A70" w:themeColor="accent1"/>
        <w:sz w:val="16"/>
        <w:szCs w:val="16"/>
      </w:rPr>
      <w:instrText>PAGE    \* MERGEFORMAT</w:instrText>
    </w:r>
    <w:r w:rsidRPr="0078520F">
      <w:rPr>
        <w:rFonts w:eastAsiaTheme="minorEastAsia"/>
        <w:b/>
        <w:bCs/>
        <w:color w:val="001A70" w:themeColor="accent1"/>
        <w:sz w:val="16"/>
        <w:szCs w:val="16"/>
      </w:rPr>
      <w:fldChar w:fldCharType="separate"/>
    </w:r>
    <w:r w:rsidR="00B33E18" w:rsidRPr="00B33E18">
      <w:rPr>
        <w:rFonts w:eastAsiaTheme="minorEastAsia"/>
        <w:b/>
        <w:bCs/>
        <w:noProof/>
        <w:color w:val="001A70" w:themeColor="accent1"/>
        <w:sz w:val="16"/>
        <w:szCs w:val="16"/>
      </w:rPr>
      <w:t>1</w:t>
    </w:r>
    <w:r w:rsidRPr="0078520F">
      <w:rPr>
        <w:rFonts w:asciiTheme="majorHAnsi" w:eastAsiaTheme="majorEastAsia" w:hAnsiTheme="majorHAnsi" w:cstheme="majorBidi"/>
        <w:b/>
        <w:bCs/>
        <w:color w:val="001A70" w:themeColor="accent1"/>
        <w:sz w:val="16"/>
        <w:szCs w:val="16"/>
      </w:rPr>
      <w:fldChar w:fldCharType="end"/>
    </w:r>
    <w:r>
      <w:rPr>
        <w:rFonts w:asciiTheme="majorHAnsi" w:hAnsiTheme="majorHAnsi"/>
        <w:b/>
        <w:bCs/>
        <w:color w:val="001A70" w:themeColor="accent1"/>
        <w:sz w:val="16"/>
        <w:szCs w:val="16"/>
      </w:rPr>
      <w:t xml:space="preserve"> I </w:t>
    </w:r>
  </w:p>
  <w:p w14:paraId="218C81C3" w14:textId="4BFF48C3" w:rsidR="00827F49" w:rsidRPr="00AC4973" w:rsidRDefault="00AC4973" w:rsidP="00AC4973">
    <w:pPr>
      <w:pStyle w:val="Pieddepage"/>
      <w:tabs>
        <w:tab w:val="left" w:pos="4072"/>
      </w:tabs>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5CC62" w14:textId="77777777" w:rsidR="00314B8D" w:rsidRDefault="00314B8D" w:rsidP="00535B90">
      <w:r>
        <w:separator/>
      </w:r>
    </w:p>
    <w:p w14:paraId="4C2E73EA" w14:textId="77777777" w:rsidR="00314B8D" w:rsidRDefault="00314B8D"/>
  </w:footnote>
  <w:footnote w:type="continuationSeparator" w:id="0">
    <w:p w14:paraId="7F1875DD" w14:textId="77777777" w:rsidR="00314B8D" w:rsidRDefault="00314B8D" w:rsidP="00535B90">
      <w:r>
        <w:continuationSeparator/>
      </w:r>
    </w:p>
    <w:p w14:paraId="686EA8C7" w14:textId="77777777" w:rsidR="00314B8D" w:rsidRDefault="00314B8D"/>
  </w:footnote>
  <w:footnote w:type="continuationNotice" w:id="1">
    <w:p w14:paraId="59D03954" w14:textId="77777777" w:rsidR="00314B8D" w:rsidRDefault="00314B8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42B3" w14:textId="19E14806" w:rsidR="00965622" w:rsidRPr="00431FF3" w:rsidRDefault="00E572E1" w:rsidP="00965622">
    <w:pPr>
      <w:pStyle w:val="Dossierdepresseautomatique"/>
      <w:framePr w:w="0" w:hRule="auto" w:wrap="auto" w:vAnchor="margin" w:hAnchor="text" w:xAlign="left" w:yAlign="inline"/>
      <w:tabs>
        <w:tab w:val="left" w:pos="6382"/>
        <w:tab w:val="right" w:pos="10204"/>
      </w:tabs>
      <w:spacing w:line="276" w:lineRule="auto"/>
      <w:jc w:val="left"/>
      <w:rPr>
        <w:noProof/>
        <w:color w:val="1089FF" w:themeColor="accent3"/>
      </w:rPr>
    </w:pPr>
    <w:r>
      <w:rPr>
        <w:noProof/>
        <w:color w:val="FFFFFF" w:themeColor="background1"/>
        <w:lang w:val="fr-FR" w:eastAsia="fr-FR"/>
      </w:rPr>
      <w:drawing>
        <wp:anchor distT="0" distB="0" distL="114300" distR="114300" simplePos="0" relativeHeight="251658242" behindDoc="0" locked="0" layoutInCell="1" allowOverlap="1" wp14:anchorId="48BB7ECE" wp14:editId="1EA23C4A">
          <wp:simplePos x="0" y="0"/>
          <wp:positionH relativeFrom="column">
            <wp:posOffset>0</wp:posOffset>
          </wp:positionH>
          <wp:positionV relativeFrom="paragraph">
            <wp:posOffset>-178204</wp:posOffset>
          </wp:positionV>
          <wp:extent cx="1036369" cy="600363"/>
          <wp:effectExtent l="0" t="0" r="0" b="0"/>
          <wp:wrapNone/>
          <wp:docPr id="5" name="Image 14">
            <a:extLst xmlns:a="http://schemas.openxmlformats.org/drawingml/2006/main">
              <a:ext uri="{FF2B5EF4-FFF2-40B4-BE49-F238E27FC236}">
                <a16:creationId xmlns:a16="http://schemas.microsoft.com/office/drawing/2014/main" id="{8D5A2422-7FC5-5A4F-920F-F482E61F77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4">
                    <a:extLst>
                      <a:ext uri="{FF2B5EF4-FFF2-40B4-BE49-F238E27FC236}">
                        <a16:creationId xmlns:a16="http://schemas.microsoft.com/office/drawing/2014/main" id="{8D5A2422-7FC5-5A4F-920F-F482E61F7725}"/>
                      </a:ext>
                    </a:extLst>
                  </pic:cNvPr>
                  <pic:cNvPicPr>
                    <a:picLocks noChangeAspect="1"/>
                  </pic:cNvPicPr>
                </pic:nvPicPr>
                <pic:blipFill>
                  <a:blip r:embed="rId1" cstate="screen">
                    <a:extLst>
                      <a:ext uri="{28A0092B-C50C-407E-A947-70E740481C1C}">
                        <a14:useLocalDpi xmlns:a14="http://schemas.microsoft.com/office/drawing/2010/main" val="0"/>
                      </a:ext>
                    </a:extLst>
                  </a:blip>
                  <a:stretch>
                    <a:fillRect/>
                  </a:stretch>
                </pic:blipFill>
                <pic:spPr>
                  <a:xfrm>
                    <a:off x="0" y="0"/>
                    <a:ext cx="1036369" cy="600363"/>
                  </a:xfrm>
                  <a:prstGeom prst="rect">
                    <a:avLst/>
                  </a:prstGeom>
                </pic:spPr>
              </pic:pic>
            </a:graphicData>
          </a:graphic>
          <wp14:sizeRelH relativeFrom="page">
            <wp14:pctWidth>0</wp14:pctWidth>
          </wp14:sizeRelH>
          <wp14:sizeRelV relativeFrom="page">
            <wp14:pctHeight>0</wp14:pctHeight>
          </wp14:sizeRelV>
        </wp:anchor>
      </w:drawing>
    </w:r>
    <w:r>
      <w:rPr>
        <w:color w:val="1089FF" w:themeColor="accent3"/>
      </w:rPr>
      <w:tab/>
    </w:r>
    <w:r>
      <w:rPr>
        <w:color w:val="1089FF" w:themeColor="accent3"/>
      </w:rPr>
      <w:tab/>
    </w:r>
    <w:r w:rsidR="00CC0E18" w:rsidRPr="00CC0E18">
      <w:rPr>
        <w:color w:val="1089FF" w:themeColor="accent3"/>
      </w:rPr>
      <w:t xml:space="preserve">Press </w:t>
    </w:r>
    <w:r w:rsidR="00672E35">
      <w:rPr>
        <w:color w:val="1089FF" w:themeColor="accent3"/>
      </w:rPr>
      <w:t>Dossier</w:t>
    </w:r>
  </w:p>
  <w:p w14:paraId="0238A072" w14:textId="5FC59467" w:rsidR="00965622" w:rsidRPr="00431FF3" w:rsidRDefault="00965622" w:rsidP="008D3A19">
    <w:pPr>
      <w:pStyle w:val="Dossierdepresseautomatique"/>
      <w:framePr w:w="0" w:hRule="auto" w:wrap="auto" w:vAnchor="margin" w:hAnchor="text" w:xAlign="left" w:yAlign="inline"/>
      <w:tabs>
        <w:tab w:val="left" w:pos="6827"/>
        <w:tab w:val="right" w:pos="10204"/>
      </w:tabs>
      <w:spacing w:line="276" w:lineRule="auto"/>
      <w:jc w:val="left"/>
      <w:rPr>
        <w:rStyle w:val="TextecourantCar"/>
        <w:b w:val="0"/>
        <w:bCs/>
        <w:sz w:val="16"/>
        <w:szCs w:val="16"/>
      </w:rPr>
    </w:pPr>
    <w:r>
      <w:rPr>
        <w:b w:val="0"/>
        <w:bCs/>
        <w:color w:val="001A70" w:themeColor="accent1"/>
        <w:sz w:val="16"/>
        <w:szCs w:val="16"/>
      </w:rPr>
      <w:tab/>
    </w:r>
    <w:r>
      <w:rPr>
        <w:b w:val="0"/>
        <w:bCs/>
        <w:color w:val="001A70" w:themeColor="accent1"/>
        <w:sz w:val="16"/>
        <w:szCs w:val="16"/>
      </w:rPr>
      <w:tab/>
      <w:t xml:space="preserve"> </w:t>
    </w:r>
    <w:r w:rsidR="001E2706">
      <w:rPr>
        <w:b w:val="0"/>
        <w:bCs/>
        <w:color w:val="001A70" w:themeColor="accent1"/>
        <w:sz w:val="16"/>
        <w:szCs w:val="16"/>
      </w:rPr>
      <w:t>30 April 2024</w:t>
    </w:r>
  </w:p>
  <w:p w14:paraId="516FDFE6" w14:textId="77777777" w:rsidR="00965622" w:rsidRPr="00431FF3" w:rsidRDefault="00965622" w:rsidP="00E572E1">
    <w:pPr>
      <w:pStyle w:val="Dossierdepresseautomatique"/>
      <w:framePr w:w="0" w:hRule="auto" w:wrap="auto" w:vAnchor="margin" w:hAnchor="text" w:xAlign="left" w:yAlign="inline"/>
      <w:spacing w:line="276" w:lineRule="auto"/>
      <w:jc w:val="center"/>
      <w:rPr>
        <w:rStyle w:val="TextecourantCar"/>
        <w:b w:val="0"/>
        <w:bCs/>
        <w:sz w:val="16"/>
        <w:szCs w:val="16"/>
        <w:lang w:val="en-US"/>
      </w:rPr>
    </w:pPr>
  </w:p>
  <w:p w14:paraId="4BED5405" w14:textId="77777777" w:rsidR="00965622" w:rsidRPr="00431FF3" w:rsidRDefault="00965622" w:rsidP="00965622">
    <w:pPr>
      <w:pStyle w:val="Dossierdepresseautomatique"/>
      <w:framePr w:w="0" w:hRule="auto" w:wrap="auto" w:vAnchor="margin" w:hAnchor="text" w:xAlign="left" w:yAlign="inline"/>
      <w:spacing w:line="276" w:lineRule="auto"/>
      <w:rPr>
        <w:rStyle w:val="TextecourantCar"/>
        <w:b w:val="0"/>
        <w:bCs/>
        <w:sz w:val="16"/>
        <w:szCs w:val="16"/>
        <w:lang w:val="en-US"/>
      </w:rPr>
    </w:pPr>
  </w:p>
  <w:p w14:paraId="1750625B" w14:textId="77777777" w:rsidR="00BF3308" w:rsidRPr="00431FF3" w:rsidRDefault="00BF3308" w:rsidP="00965622">
    <w:pPr>
      <w:pStyle w:val="En-tt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56273" w14:textId="00C7C31F" w:rsidR="0076640C" w:rsidRPr="00344C60" w:rsidRDefault="00C51F27" w:rsidP="00344C60">
    <w:pPr>
      <w:pStyle w:val="Dossierdepresseautomatique"/>
      <w:framePr w:w="0" w:hRule="auto" w:wrap="auto" w:vAnchor="margin" w:hAnchor="text" w:xAlign="left" w:yAlign="inline"/>
      <w:tabs>
        <w:tab w:val="left" w:pos="6382"/>
        <w:tab w:val="right" w:pos="10204"/>
      </w:tabs>
      <w:spacing w:line="276" w:lineRule="auto"/>
      <w:jc w:val="center"/>
      <w:rPr>
        <w:noProof/>
        <w:color w:val="FFFFFF" w:themeColor="background1"/>
      </w:rPr>
    </w:pPr>
    <w:r>
      <w:rPr>
        <w:noProof/>
        <w:color w:val="FFFFFF" w:themeColor="background1"/>
        <w:lang w:val="fr-FR" w:eastAsia="fr-FR"/>
      </w:rPr>
      <mc:AlternateContent>
        <mc:Choice Requires="wps">
          <w:drawing>
            <wp:anchor distT="0" distB="0" distL="114300" distR="114300" simplePos="0" relativeHeight="251658240" behindDoc="1" locked="0" layoutInCell="1" allowOverlap="1" wp14:anchorId="6914FC93" wp14:editId="695A918B">
              <wp:simplePos x="0" y="0"/>
              <wp:positionH relativeFrom="page">
                <wp:align>left</wp:align>
              </wp:positionH>
              <wp:positionV relativeFrom="paragraph">
                <wp:posOffset>-402590</wp:posOffset>
              </wp:positionV>
              <wp:extent cx="6529705" cy="1010920"/>
              <wp:effectExtent l="0" t="0" r="4445" b="0"/>
              <wp:wrapNone/>
              <wp:docPr id="2" name="Rectangle 2"/>
              <wp:cNvGraphicFramePr/>
              <a:graphic xmlns:a="http://schemas.openxmlformats.org/drawingml/2006/main">
                <a:graphicData uri="http://schemas.microsoft.com/office/word/2010/wordprocessingShape">
                  <wps:wsp>
                    <wps:cNvSpPr/>
                    <wps:spPr>
                      <a:xfrm>
                        <a:off x="0" y="0"/>
                        <a:ext cx="6529705" cy="101092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73C3FC6A" id="Rectangle 2" o:spid="_x0000_s1026" style="position:absolute;margin-left:0;margin-top:-31.7pt;width:514.15pt;height:79.6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" fillcolor="#1057c8 [3205]" stroked="f" strokeweight="2pt">
              <w10:wrap anchorx="page"/>
            </v:rect>
          </w:pict>
        </mc:Fallback>
      </mc:AlternateContent>
    </w:r>
    <w:r>
      <w:rPr>
        <w:noProof/>
        <w:color w:val="FFFFFF" w:themeColor="background1"/>
        <w:lang w:val="fr-FR" w:eastAsia="fr-FR"/>
      </w:rPr>
      <w:drawing>
        <wp:anchor distT="0" distB="0" distL="114300" distR="114300" simplePos="0" relativeHeight="251658244" behindDoc="0" locked="0" layoutInCell="1" allowOverlap="1" wp14:anchorId="02BC9567" wp14:editId="3760EFC8">
          <wp:simplePos x="0" y="0"/>
          <wp:positionH relativeFrom="column">
            <wp:posOffset>-124460</wp:posOffset>
          </wp:positionH>
          <wp:positionV relativeFrom="paragraph">
            <wp:posOffset>-217459</wp:posOffset>
          </wp:positionV>
          <wp:extent cx="1036369" cy="600363"/>
          <wp:effectExtent l="0" t="0" r="0" b="0"/>
          <wp:wrapNone/>
          <wp:docPr id="15" name="Image 14">
            <a:extLst xmlns:a="http://schemas.openxmlformats.org/drawingml/2006/main">
              <a:ext uri="{FF2B5EF4-FFF2-40B4-BE49-F238E27FC236}">
                <a16:creationId xmlns:a16="http://schemas.microsoft.com/office/drawing/2014/main" id="{8D5A2422-7FC5-5A4F-920F-F482E61F77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4">
                    <a:extLst>
                      <a:ext uri="{FF2B5EF4-FFF2-40B4-BE49-F238E27FC236}">
                        <a16:creationId xmlns:a16="http://schemas.microsoft.com/office/drawing/2014/main" id="{8D5A2422-7FC5-5A4F-920F-F482E61F7725}"/>
                      </a:ext>
                    </a:extLst>
                  </pic:cNvPr>
                  <pic:cNvPicPr>
                    <a:picLocks noChangeAspect="1"/>
                  </pic:cNvPicPr>
                </pic:nvPicPr>
                <pic:blipFill>
                  <a:blip r:embed="rId1" cstate="screen">
                    <a:lum bright="100000" contrast="100000"/>
                    <a:extLst>
                      <a:ext uri="{28A0092B-C50C-407E-A947-70E740481C1C}">
                        <a14:useLocalDpi xmlns:a14="http://schemas.microsoft.com/office/drawing/2010/main" val="0"/>
                      </a:ext>
                    </a:extLst>
                  </a:blip>
                  <a:stretch>
                    <a:fillRect/>
                  </a:stretch>
                </pic:blipFill>
                <pic:spPr>
                  <a:xfrm>
                    <a:off x="0" y="0"/>
                    <a:ext cx="1036369" cy="600363"/>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lang w:val="fr-FR" w:eastAsia="fr-FR"/>
      </w:rPr>
      <mc:AlternateContent>
        <mc:Choice Requires="wpg">
          <w:drawing>
            <wp:anchor distT="0" distB="0" distL="114300" distR="114300" simplePos="0" relativeHeight="251658243" behindDoc="1" locked="0" layoutInCell="1" allowOverlap="1" wp14:anchorId="2C991B12" wp14:editId="30EDFDB2">
              <wp:simplePos x="0" y="0"/>
              <wp:positionH relativeFrom="column">
                <wp:posOffset>5994746</wp:posOffset>
              </wp:positionH>
              <wp:positionV relativeFrom="paragraph">
                <wp:posOffset>-402878</wp:posOffset>
              </wp:positionV>
              <wp:extent cx="1010920" cy="1010920"/>
              <wp:effectExtent l="0" t="0" r="5080" b="5080"/>
              <wp:wrapNone/>
              <wp:docPr id="169" name="Groupe 27"/>
              <wp:cNvGraphicFramePr/>
              <a:graphic xmlns:a="http://schemas.openxmlformats.org/drawingml/2006/main">
                <a:graphicData uri="http://schemas.microsoft.com/office/word/2010/wordprocessingGroup">
                  <wpg:wgp>
                    <wpg:cNvGrpSpPr/>
                    <wpg:grpSpPr>
                      <a:xfrm>
                        <a:off x="0" y="0"/>
                        <a:ext cx="1010920" cy="1010920"/>
                        <a:chOff x="0" y="0"/>
                        <a:chExt cx="1015365" cy="1015364"/>
                      </a:xfrm>
                    </wpg:grpSpPr>
                    <wps:wsp>
                      <wps:cNvPr id="170" name="Forme libre 170"/>
                      <wps:cNvSpPr/>
                      <wps:spPr>
                        <a:xfrm>
                          <a:off x="0" y="0"/>
                          <a:ext cx="1015365" cy="1015364"/>
                        </a:xfrm>
                        <a:custGeom>
                          <a:avLst/>
                          <a:gdLst>
                            <a:gd name="connsiteX0" fmla="*/ 0 w 1015365"/>
                            <a:gd name="connsiteY0" fmla="*/ 0 h 1015364"/>
                            <a:gd name="connsiteX1" fmla="*/ 1015365 w 1015365"/>
                            <a:gd name="connsiteY1" fmla="*/ 0 h 1015364"/>
                            <a:gd name="connsiteX2" fmla="*/ 1015365 w 1015365"/>
                            <a:gd name="connsiteY2" fmla="*/ 1015365 h 1015364"/>
                            <a:gd name="connsiteX3" fmla="*/ 0 w 1015365"/>
                            <a:gd name="connsiteY3" fmla="*/ 1015365 h 1015364"/>
                          </a:gdLst>
                          <a:ahLst/>
                          <a:cxnLst>
                            <a:cxn ang="0">
                              <a:pos x="connsiteX0" y="connsiteY0"/>
                            </a:cxn>
                            <a:cxn ang="0">
                              <a:pos x="connsiteX1" y="connsiteY1"/>
                            </a:cxn>
                            <a:cxn ang="0">
                              <a:pos x="connsiteX2" y="connsiteY2"/>
                            </a:cxn>
                            <a:cxn ang="0">
                              <a:pos x="connsiteX3" y="connsiteY3"/>
                            </a:cxn>
                          </a:cxnLst>
                          <a:rect l="l" t="t" r="r" b="b"/>
                          <a:pathLst>
                            <a:path w="1015365" h="1015364">
                              <a:moveTo>
                                <a:pt x="0" y="0"/>
                              </a:moveTo>
                              <a:lnTo>
                                <a:pt x="1015365" y="0"/>
                              </a:lnTo>
                              <a:lnTo>
                                <a:pt x="1015365" y="1015365"/>
                              </a:lnTo>
                              <a:lnTo>
                                <a:pt x="0" y="1015365"/>
                              </a:lnTo>
                              <a:close/>
                            </a:path>
                          </a:pathLst>
                        </a:custGeom>
                        <a:solidFill>
                          <a:srgbClr val="001A70"/>
                        </a:solidFill>
                        <a:ln w="9525" cap="flat">
                          <a:noFill/>
                          <a:prstDash val="solid"/>
                          <a:miter/>
                        </a:ln>
                      </wps:spPr>
                      <wps:bodyPr rtlCol="0" anchor="ctr"/>
                    </wps:wsp>
                    <wps:wsp>
                      <wps:cNvPr id="171" name="Forme libre 171"/>
                      <wps:cNvSpPr/>
                      <wps:spPr>
                        <a:xfrm rot="18899514">
                          <a:off x="437961" y="98721"/>
                          <a:ext cx="80961" cy="444813"/>
                        </a:xfrm>
                        <a:custGeom>
                          <a:avLst/>
                          <a:gdLst>
                            <a:gd name="connsiteX0" fmla="*/ 0 w 80961"/>
                            <a:gd name="connsiteY0" fmla="*/ 0 h 444813"/>
                            <a:gd name="connsiteX1" fmla="*/ 80962 w 80961"/>
                            <a:gd name="connsiteY1" fmla="*/ 0 h 444813"/>
                            <a:gd name="connsiteX2" fmla="*/ 80962 w 80961"/>
                            <a:gd name="connsiteY2" fmla="*/ 444813 h 444813"/>
                            <a:gd name="connsiteX3" fmla="*/ 0 w 80961"/>
                            <a:gd name="connsiteY3" fmla="*/ 444813 h 444813"/>
                          </a:gdLst>
                          <a:ahLst/>
                          <a:cxnLst>
                            <a:cxn ang="0">
                              <a:pos x="connsiteX0" y="connsiteY0"/>
                            </a:cxn>
                            <a:cxn ang="0">
                              <a:pos x="connsiteX1" y="connsiteY1"/>
                            </a:cxn>
                            <a:cxn ang="0">
                              <a:pos x="connsiteX2" y="connsiteY2"/>
                            </a:cxn>
                            <a:cxn ang="0">
                              <a:pos x="connsiteX3" y="connsiteY3"/>
                            </a:cxn>
                          </a:cxnLst>
                          <a:rect l="l" t="t" r="r" b="b"/>
                          <a:pathLst>
                            <a:path w="80961" h="444813">
                              <a:moveTo>
                                <a:pt x="0" y="0"/>
                              </a:moveTo>
                              <a:lnTo>
                                <a:pt x="80962" y="0"/>
                              </a:lnTo>
                              <a:lnTo>
                                <a:pt x="80962" y="444813"/>
                              </a:lnTo>
                              <a:lnTo>
                                <a:pt x="0" y="444813"/>
                              </a:lnTo>
                              <a:close/>
                            </a:path>
                          </a:pathLst>
                        </a:custGeom>
                        <a:solidFill>
                          <a:srgbClr val="1057C8"/>
                        </a:solidFill>
                        <a:ln w="9525" cap="flat">
                          <a:noFill/>
                          <a:prstDash val="solid"/>
                          <a:miter/>
                        </a:ln>
                      </wps:spPr>
                      <wps:bodyPr rtlCol="0" anchor="ctr"/>
                    </wps:wsp>
                    <wps:wsp>
                      <wps:cNvPr id="178" name="Forme libre 178"/>
                      <wps:cNvSpPr/>
                      <wps:spPr>
                        <a:xfrm rot="18900486">
                          <a:off x="255948" y="652753"/>
                          <a:ext cx="444813" cy="80961"/>
                        </a:xfrm>
                        <a:custGeom>
                          <a:avLst/>
                          <a:gdLst>
                            <a:gd name="connsiteX0" fmla="*/ 0 w 444813"/>
                            <a:gd name="connsiteY0" fmla="*/ 0 h 80961"/>
                            <a:gd name="connsiteX1" fmla="*/ 444813 w 444813"/>
                            <a:gd name="connsiteY1" fmla="*/ 0 h 80961"/>
                            <a:gd name="connsiteX2" fmla="*/ 444813 w 444813"/>
                            <a:gd name="connsiteY2" fmla="*/ 80962 h 80961"/>
                            <a:gd name="connsiteX3" fmla="*/ 0 w 444813"/>
                            <a:gd name="connsiteY3" fmla="*/ 80962 h 80961"/>
                          </a:gdLst>
                          <a:ahLst/>
                          <a:cxnLst>
                            <a:cxn ang="0">
                              <a:pos x="connsiteX0" y="connsiteY0"/>
                            </a:cxn>
                            <a:cxn ang="0">
                              <a:pos x="connsiteX1" y="connsiteY1"/>
                            </a:cxn>
                            <a:cxn ang="0">
                              <a:pos x="connsiteX2" y="connsiteY2"/>
                            </a:cxn>
                            <a:cxn ang="0">
                              <a:pos x="connsiteX3" y="connsiteY3"/>
                            </a:cxn>
                          </a:cxnLst>
                          <a:rect l="l" t="t" r="r" b="b"/>
                          <a:pathLst>
                            <a:path w="444813" h="80961">
                              <a:moveTo>
                                <a:pt x="0" y="0"/>
                              </a:moveTo>
                              <a:lnTo>
                                <a:pt x="444813" y="0"/>
                              </a:lnTo>
                              <a:lnTo>
                                <a:pt x="444813" y="80962"/>
                              </a:lnTo>
                              <a:lnTo>
                                <a:pt x="0" y="80962"/>
                              </a:lnTo>
                              <a:close/>
                            </a:path>
                          </a:pathLst>
                        </a:custGeom>
                        <a:solidFill>
                          <a:srgbClr val="1089FF"/>
                        </a:solidFill>
                        <a:ln w="9525" cap="flat">
                          <a:noFill/>
                          <a:prstDash val="solid"/>
                          <a:miter/>
                        </a:ln>
                      </wps:spPr>
                      <wps:bodyPr rtlCol="0" anchor="ctr"/>
                    </wps:wsp>
                    <wps:wsp>
                      <wps:cNvPr id="186" name="Forme libre 186"/>
                      <wps:cNvSpPr/>
                      <wps:spPr>
                        <a:xfrm rot="18900000">
                          <a:off x="623645" y="466653"/>
                          <a:ext cx="80961" cy="80961"/>
                        </a:xfrm>
                        <a:custGeom>
                          <a:avLst/>
                          <a:gdLst>
                            <a:gd name="connsiteX0" fmla="*/ 0 w 80961"/>
                            <a:gd name="connsiteY0" fmla="*/ 0 h 80961"/>
                            <a:gd name="connsiteX1" fmla="*/ 80962 w 80961"/>
                            <a:gd name="connsiteY1" fmla="*/ 0 h 80961"/>
                            <a:gd name="connsiteX2" fmla="*/ 80962 w 80961"/>
                            <a:gd name="connsiteY2" fmla="*/ 80962 h 80961"/>
                            <a:gd name="connsiteX3" fmla="*/ 0 w 80961"/>
                            <a:gd name="connsiteY3" fmla="*/ 80962 h 80961"/>
                          </a:gdLst>
                          <a:ahLst/>
                          <a:cxnLst>
                            <a:cxn ang="0">
                              <a:pos x="connsiteX0" y="connsiteY0"/>
                            </a:cxn>
                            <a:cxn ang="0">
                              <a:pos x="connsiteX1" y="connsiteY1"/>
                            </a:cxn>
                            <a:cxn ang="0">
                              <a:pos x="connsiteX2" y="connsiteY2"/>
                            </a:cxn>
                            <a:cxn ang="0">
                              <a:pos x="connsiteX3" y="connsiteY3"/>
                            </a:cxn>
                          </a:cxnLst>
                          <a:rect l="l" t="t" r="r" b="b"/>
                          <a:pathLst>
                            <a:path w="80961" h="80961">
                              <a:moveTo>
                                <a:pt x="0" y="0"/>
                              </a:moveTo>
                              <a:lnTo>
                                <a:pt x="80962" y="0"/>
                              </a:lnTo>
                              <a:lnTo>
                                <a:pt x="80962" y="80962"/>
                              </a:lnTo>
                              <a:lnTo>
                                <a:pt x="0" y="80962"/>
                              </a:lnTo>
                              <a:close/>
                            </a:path>
                          </a:pathLst>
                        </a:custGeom>
                        <a:solidFill>
                          <a:srgbClr val="FFFFFF"/>
                        </a:solidFill>
                        <a:ln w="9525"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group w14:anchorId="197E5006" id="Groupe 27" o:spid="_x0000_s1026" style="position:absolute;margin-left:472.05pt;margin-top:-31.7pt;width:79.6pt;height:79.6pt;z-index:-251656192;mso-width-relative:margin;mso-height-relative:margin" coordsize="10153,10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">
              <v:shape id="Forme libre 170" o:spid="_x0000_s1027" style="position:absolute;width:10153;height:10153;visibility:visible;mso-wrap-style:square;v-text-anchor:middle" coordsize="1015365,101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" path="m,l1015365,r,1015365l,1015365,,xe" fillcolor="#001a70" stroked="f">
                <v:stroke joinstyle="miter"/>
                <v:path arrowok="t" o:connecttype="custom" o:connectlocs="0,0;1015365,0;1015365,1015365;0,1015365" o:connectangles="0,0,0,0"/>
              </v:shape>
              <v:shape id="Forme libre 171" o:spid="_x0000_s1028" style="position:absolute;left:4379;top:987;width:810;height:4448;rotation:-2949651fd;visibility:visible;mso-wrap-style:square;v-text-anchor:middle" coordsize="80961,444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" path="m,l80962,r,444813l,444813,,xe" fillcolor="#1057c8" stroked="f">
                <v:stroke joinstyle="miter"/>
                <v:path arrowok="t" o:connecttype="custom" o:connectlocs="0,0;80962,0;80962,444813;0,444813" o:connectangles="0,0,0,0"/>
              </v:shape>
              <v:shape id="Forme libre 178" o:spid="_x0000_s1029" style="position:absolute;left:2559;top:6527;width:4448;height:810;rotation:-2948589fd;visibility:visible;mso-wrap-style:square;v-text-anchor:middle" coordsize="444813,8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" path="m,l444813,r,80962l,80962,,xe" fillcolor="#1089ff" stroked="f">
                <v:stroke joinstyle="miter"/>
                <v:path arrowok="t" o:connecttype="custom" o:connectlocs="0,0;444813,0;444813,80962;0,80962" o:connectangles="0,0,0,0"/>
              </v:shape>
              <v:shape id="Forme libre 186" o:spid="_x0000_s1030" style="position:absolute;left:6236;top:4666;width:810;height:810;rotation:-45;visibility:visible;mso-wrap-style:square;v-text-anchor:middle" coordsize="80961,8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" path="m,l80962,r,80962l,80962,,xe" stroked="f">
                <v:stroke joinstyle="miter"/>
                <v:path arrowok="t" o:connecttype="custom" o:connectlocs="0,0;80962,0;80962,80962;0,80962" o:connectangles="0,0,0,0"/>
              </v:shape>
            </v:group>
          </w:pict>
        </mc:Fallback>
      </mc:AlternateContent>
    </w:r>
    <w:r w:rsidR="00047090">
      <w:rPr>
        <w:color w:val="FFFFFF" w:themeColor="background1"/>
      </w:rPr>
      <w:t xml:space="preserve">Press </w:t>
    </w:r>
    <w:r w:rsidR="00BF4BED">
      <w:rPr>
        <w:color w:val="FFFFFF" w:themeColor="background1"/>
      </w:rPr>
      <w:t>Dossier</w:t>
    </w:r>
  </w:p>
  <w:p w14:paraId="6540E18C" w14:textId="33A90995" w:rsidR="00E01D3E" w:rsidRPr="008B2998" w:rsidRDefault="00076E09" w:rsidP="00344C60">
    <w:pPr>
      <w:pStyle w:val="Dossierdepresseautomatique"/>
      <w:framePr w:w="0" w:hRule="auto" w:wrap="auto" w:vAnchor="margin" w:hAnchor="text" w:xAlign="left" w:yAlign="inline"/>
      <w:spacing w:line="276" w:lineRule="auto"/>
      <w:jc w:val="center"/>
      <w:rPr>
        <w:rStyle w:val="TextecourantCar"/>
        <w:b w:val="0"/>
        <w:bCs/>
        <w:sz w:val="16"/>
        <w:szCs w:val="16"/>
      </w:rPr>
    </w:pPr>
    <w:r>
      <w:rPr>
        <w:color w:val="FFFFFF" w:themeColor="background1"/>
        <w:sz w:val="20"/>
        <w:szCs w:val="28"/>
      </w:rPr>
      <w:t>30</w:t>
    </w:r>
    <w:r w:rsidR="00A26C6F">
      <w:rPr>
        <w:color w:val="FFFFFF" w:themeColor="background1"/>
        <w:sz w:val="20"/>
        <w:szCs w:val="28"/>
      </w:rPr>
      <w:t>.</w:t>
    </w:r>
    <w:r>
      <w:rPr>
        <w:color w:val="FFFFFF" w:themeColor="background1"/>
        <w:sz w:val="20"/>
        <w:szCs w:val="28"/>
      </w:rPr>
      <w:t>04</w:t>
    </w:r>
    <w:r w:rsidR="00A26C6F">
      <w:rPr>
        <w:color w:val="FFFFFF" w:themeColor="background1"/>
        <w:sz w:val="20"/>
        <w:szCs w:val="28"/>
      </w:rPr>
      <w:t>.2</w:t>
    </w:r>
    <w:r>
      <w:rPr>
        <w:color w:val="FFFFFF" w:themeColor="background1"/>
        <w:sz w:val="20"/>
        <w:szCs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5E27A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EEC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262B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6A55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8A45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9A64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3E30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10FD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B0FA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1E32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34C7A"/>
    <w:multiLevelType w:val="hybridMultilevel"/>
    <w:tmpl w:val="65E8CC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74A4CDD"/>
    <w:multiLevelType w:val="hybridMultilevel"/>
    <w:tmpl w:val="088C4A3A"/>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A243BCF"/>
    <w:multiLevelType w:val="hybridMultilevel"/>
    <w:tmpl w:val="F0B2648C"/>
    <w:lvl w:ilvl="0" w:tplc="E2AC5C80">
      <w:start w:val="1"/>
      <w:numFmt w:val="bullet"/>
      <w:lvlText w:val=""/>
      <w:lvlJc w:val="left"/>
      <w:pPr>
        <w:ind w:left="720" w:hanging="360"/>
      </w:pPr>
      <w:rPr>
        <w:rFonts w:ascii="Symbol" w:hAnsi="Symbol" w:hint="default"/>
      </w:rPr>
    </w:lvl>
    <w:lvl w:ilvl="1" w:tplc="08526BF2">
      <w:start w:val="1"/>
      <w:numFmt w:val="bullet"/>
      <w:lvlText w:val="o"/>
      <w:lvlJc w:val="left"/>
      <w:pPr>
        <w:ind w:left="1440" w:hanging="360"/>
      </w:pPr>
      <w:rPr>
        <w:rFonts w:ascii="Courier New" w:hAnsi="Courier New" w:hint="default"/>
      </w:rPr>
    </w:lvl>
    <w:lvl w:ilvl="2" w:tplc="B6D6A5F4">
      <w:start w:val="1"/>
      <w:numFmt w:val="bullet"/>
      <w:lvlText w:val=""/>
      <w:lvlJc w:val="left"/>
      <w:pPr>
        <w:ind w:left="2160" w:hanging="360"/>
      </w:pPr>
      <w:rPr>
        <w:rFonts w:ascii="Wingdings" w:hAnsi="Wingdings" w:hint="default"/>
      </w:rPr>
    </w:lvl>
    <w:lvl w:ilvl="3" w:tplc="00144FAE">
      <w:start w:val="1"/>
      <w:numFmt w:val="bullet"/>
      <w:lvlText w:val=""/>
      <w:lvlJc w:val="left"/>
      <w:pPr>
        <w:ind w:left="2880" w:hanging="360"/>
      </w:pPr>
      <w:rPr>
        <w:rFonts w:ascii="Symbol" w:hAnsi="Symbol" w:hint="default"/>
      </w:rPr>
    </w:lvl>
    <w:lvl w:ilvl="4" w:tplc="4B5A0964">
      <w:start w:val="1"/>
      <w:numFmt w:val="bullet"/>
      <w:lvlText w:val="o"/>
      <w:lvlJc w:val="left"/>
      <w:pPr>
        <w:ind w:left="3600" w:hanging="360"/>
      </w:pPr>
      <w:rPr>
        <w:rFonts w:ascii="Courier New" w:hAnsi="Courier New" w:hint="default"/>
      </w:rPr>
    </w:lvl>
    <w:lvl w:ilvl="5" w:tplc="C36ED77C">
      <w:start w:val="1"/>
      <w:numFmt w:val="bullet"/>
      <w:lvlText w:val=""/>
      <w:lvlJc w:val="left"/>
      <w:pPr>
        <w:ind w:left="4320" w:hanging="360"/>
      </w:pPr>
      <w:rPr>
        <w:rFonts w:ascii="Wingdings" w:hAnsi="Wingdings" w:hint="default"/>
      </w:rPr>
    </w:lvl>
    <w:lvl w:ilvl="6" w:tplc="3BC8C5AE">
      <w:start w:val="1"/>
      <w:numFmt w:val="bullet"/>
      <w:lvlText w:val=""/>
      <w:lvlJc w:val="left"/>
      <w:pPr>
        <w:ind w:left="5040" w:hanging="360"/>
      </w:pPr>
      <w:rPr>
        <w:rFonts w:ascii="Symbol" w:hAnsi="Symbol" w:hint="default"/>
      </w:rPr>
    </w:lvl>
    <w:lvl w:ilvl="7" w:tplc="538CA878">
      <w:start w:val="1"/>
      <w:numFmt w:val="bullet"/>
      <w:lvlText w:val="o"/>
      <w:lvlJc w:val="left"/>
      <w:pPr>
        <w:ind w:left="5760" w:hanging="360"/>
      </w:pPr>
      <w:rPr>
        <w:rFonts w:ascii="Courier New" w:hAnsi="Courier New" w:hint="default"/>
      </w:rPr>
    </w:lvl>
    <w:lvl w:ilvl="8" w:tplc="A7808384">
      <w:start w:val="1"/>
      <w:numFmt w:val="bullet"/>
      <w:lvlText w:val=""/>
      <w:lvlJc w:val="left"/>
      <w:pPr>
        <w:ind w:left="6480" w:hanging="360"/>
      </w:pPr>
      <w:rPr>
        <w:rFonts w:ascii="Wingdings" w:hAnsi="Wingdings" w:hint="default"/>
      </w:rPr>
    </w:lvl>
  </w:abstractNum>
  <w:abstractNum w:abstractNumId="13" w15:restartNumberingAfterBreak="0">
    <w:nsid w:val="0F380405"/>
    <w:multiLevelType w:val="multilevel"/>
    <w:tmpl w:val="040C001D"/>
    <w:styleLink w:val="Listeactuel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92782F"/>
    <w:multiLevelType w:val="hybridMultilevel"/>
    <w:tmpl w:val="0FEC44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2737A88"/>
    <w:multiLevelType w:val="hybridMultilevel"/>
    <w:tmpl w:val="09C41312"/>
    <w:lvl w:ilvl="0" w:tplc="0C822CE8">
      <w:start w:val="1"/>
      <w:numFmt w:val="bullet"/>
      <w:lvlText w:val="•"/>
      <w:lvlJc w:val="left"/>
      <w:pPr>
        <w:tabs>
          <w:tab w:val="num" w:pos="720"/>
        </w:tabs>
        <w:ind w:left="720" w:hanging="360"/>
      </w:pPr>
      <w:rPr>
        <w:rFonts w:ascii="Arial" w:hAnsi="Arial" w:hint="default"/>
      </w:rPr>
    </w:lvl>
    <w:lvl w:ilvl="1" w:tplc="206C143A" w:tentative="1">
      <w:start w:val="1"/>
      <w:numFmt w:val="bullet"/>
      <w:lvlText w:val="•"/>
      <w:lvlJc w:val="left"/>
      <w:pPr>
        <w:tabs>
          <w:tab w:val="num" w:pos="1440"/>
        </w:tabs>
        <w:ind w:left="1440" w:hanging="360"/>
      </w:pPr>
      <w:rPr>
        <w:rFonts w:ascii="Arial" w:hAnsi="Arial" w:hint="default"/>
      </w:rPr>
    </w:lvl>
    <w:lvl w:ilvl="2" w:tplc="43E06FCC" w:tentative="1">
      <w:start w:val="1"/>
      <w:numFmt w:val="bullet"/>
      <w:lvlText w:val="•"/>
      <w:lvlJc w:val="left"/>
      <w:pPr>
        <w:tabs>
          <w:tab w:val="num" w:pos="2160"/>
        </w:tabs>
        <w:ind w:left="2160" w:hanging="360"/>
      </w:pPr>
      <w:rPr>
        <w:rFonts w:ascii="Arial" w:hAnsi="Arial" w:hint="default"/>
      </w:rPr>
    </w:lvl>
    <w:lvl w:ilvl="3" w:tplc="46443564" w:tentative="1">
      <w:start w:val="1"/>
      <w:numFmt w:val="bullet"/>
      <w:lvlText w:val="•"/>
      <w:lvlJc w:val="left"/>
      <w:pPr>
        <w:tabs>
          <w:tab w:val="num" w:pos="2880"/>
        </w:tabs>
        <w:ind w:left="2880" w:hanging="360"/>
      </w:pPr>
      <w:rPr>
        <w:rFonts w:ascii="Arial" w:hAnsi="Arial" w:hint="default"/>
      </w:rPr>
    </w:lvl>
    <w:lvl w:ilvl="4" w:tplc="A1D4DED4" w:tentative="1">
      <w:start w:val="1"/>
      <w:numFmt w:val="bullet"/>
      <w:lvlText w:val="•"/>
      <w:lvlJc w:val="left"/>
      <w:pPr>
        <w:tabs>
          <w:tab w:val="num" w:pos="3600"/>
        </w:tabs>
        <w:ind w:left="3600" w:hanging="360"/>
      </w:pPr>
      <w:rPr>
        <w:rFonts w:ascii="Arial" w:hAnsi="Arial" w:hint="default"/>
      </w:rPr>
    </w:lvl>
    <w:lvl w:ilvl="5" w:tplc="1382B568" w:tentative="1">
      <w:start w:val="1"/>
      <w:numFmt w:val="bullet"/>
      <w:lvlText w:val="•"/>
      <w:lvlJc w:val="left"/>
      <w:pPr>
        <w:tabs>
          <w:tab w:val="num" w:pos="4320"/>
        </w:tabs>
        <w:ind w:left="4320" w:hanging="360"/>
      </w:pPr>
      <w:rPr>
        <w:rFonts w:ascii="Arial" w:hAnsi="Arial" w:hint="default"/>
      </w:rPr>
    </w:lvl>
    <w:lvl w:ilvl="6" w:tplc="04A0B886" w:tentative="1">
      <w:start w:val="1"/>
      <w:numFmt w:val="bullet"/>
      <w:lvlText w:val="•"/>
      <w:lvlJc w:val="left"/>
      <w:pPr>
        <w:tabs>
          <w:tab w:val="num" w:pos="5040"/>
        </w:tabs>
        <w:ind w:left="5040" w:hanging="360"/>
      </w:pPr>
      <w:rPr>
        <w:rFonts w:ascii="Arial" w:hAnsi="Arial" w:hint="default"/>
      </w:rPr>
    </w:lvl>
    <w:lvl w:ilvl="7" w:tplc="6BBC94B2" w:tentative="1">
      <w:start w:val="1"/>
      <w:numFmt w:val="bullet"/>
      <w:lvlText w:val="•"/>
      <w:lvlJc w:val="left"/>
      <w:pPr>
        <w:tabs>
          <w:tab w:val="num" w:pos="5760"/>
        </w:tabs>
        <w:ind w:left="5760" w:hanging="360"/>
      </w:pPr>
      <w:rPr>
        <w:rFonts w:ascii="Arial" w:hAnsi="Arial" w:hint="default"/>
      </w:rPr>
    </w:lvl>
    <w:lvl w:ilvl="8" w:tplc="0F1274E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3223574"/>
    <w:multiLevelType w:val="hybridMultilevel"/>
    <w:tmpl w:val="CB68DCC6"/>
    <w:lvl w:ilvl="0" w:tplc="50AC6FA0">
      <w:start w:val="1"/>
      <w:numFmt w:val="bullet"/>
      <w:lvlText w:val=""/>
      <w:lvlJc w:val="left"/>
      <w:pPr>
        <w:tabs>
          <w:tab w:val="num" w:pos="720"/>
        </w:tabs>
        <w:ind w:left="720" w:hanging="360"/>
      </w:pPr>
      <w:rPr>
        <w:rFonts w:ascii="Wingdings" w:hAnsi="Wingdings" w:hint="default"/>
      </w:rPr>
    </w:lvl>
    <w:lvl w:ilvl="1" w:tplc="EFE851BE">
      <w:start w:val="1"/>
      <w:numFmt w:val="bullet"/>
      <w:lvlText w:val=""/>
      <w:lvlJc w:val="left"/>
      <w:pPr>
        <w:tabs>
          <w:tab w:val="num" w:pos="1440"/>
        </w:tabs>
        <w:ind w:left="1440" w:hanging="360"/>
      </w:pPr>
      <w:rPr>
        <w:rFonts w:ascii="Wingdings" w:hAnsi="Wingdings" w:hint="default"/>
      </w:rPr>
    </w:lvl>
    <w:lvl w:ilvl="2" w:tplc="64324F8C" w:tentative="1">
      <w:start w:val="1"/>
      <w:numFmt w:val="bullet"/>
      <w:lvlText w:val=""/>
      <w:lvlJc w:val="left"/>
      <w:pPr>
        <w:tabs>
          <w:tab w:val="num" w:pos="2160"/>
        </w:tabs>
        <w:ind w:left="2160" w:hanging="360"/>
      </w:pPr>
      <w:rPr>
        <w:rFonts w:ascii="Wingdings" w:hAnsi="Wingdings" w:hint="default"/>
      </w:rPr>
    </w:lvl>
    <w:lvl w:ilvl="3" w:tplc="2D080432" w:tentative="1">
      <w:start w:val="1"/>
      <w:numFmt w:val="bullet"/>
      <w:lvlText w:val=""/>
      <w:lvlJc w:val="left"/>
      <w:pPr>
        <w:tabs>
          <w:tab w:val="num" w:pos="2880"/>
        </w:tabs>
        <w:ind w:left="2880" w:hanging="360"/>
      </w:pPr>
      <w:rPr>
        <w:rFonts w:ascii="Wingdings" w:hAnsi="Wingdings" w:hint="default"/>
      </w:rPr>
    </w:lvl>
    <w:lvl w:ilvl="4" w:tplc="6C848C26" w:tentative="1">
      <w:start w:val="1"/>
      <w:numFmt w:val="bullet"/>
      <w:lvlText w:val=""/>
      <w:lvlJc w:val="left"/>
      <w:pPr>
        <w:tabs>
          <w:tab w:val="num" w:pos="3600"/>
        </w:tabs>
        <w:ind w:left="3600" w:hanging="360"/>
      </w:pPr>
      <w:rPr>
        <w:rFonts w:ascii="Wingdings" w:hAnsi="Wingdings" w:hint="default"/>
      </w:rPr>
    </w:lvl>
    <w:lvl w:ilvl="5" w:tplc="2194711C" w:tentative="1">
      <w:start w:val="1"/>
      <w:numFmt w:val="bullet"/>
      <w:lvlText w:val=""/>
      <w:lvlJc w:val="left"/>
      <w:pPr>
        <w:tabs>
          <w:tab w:val="num" w:pos="4320"/>
        </w:tabs>
        <w:ind w:left="4320" w:hanging="360"/>
      </w:pPr>
      <w:rPr>
        <w:rFonts w:ascii="Wingdings" w:hAnsi="Wingdings" w:hint="default"/>
      </w:rPr>
    </w:lvl>
    <w:lvl w:ilvl="6" w:tplc="AA18F6DE" w:tentative="1">
      <w:start w:val="1"/>
      <w:numFmt w:val="bullet"/>
      <w:lvlText w:val=""/>
      <w:lvlJc w:val="left"/>
      <w:pPr>
        <w:tabs>
          <w:tab w:val="num" w:pos="5040"/>
        </w:tabs>
        <w:ind w:left="5040" w:hanging="360"/>
      </w:pPr>
      <w:rPr>
        <w:rFonts w:ascii="Wingdings" w:hAnsi="Wingdings" w:hint="default"/>
      </w:rPr>
    </w:lvl>
    <w:lvl w:ilvl="7" w:tplc="5E12417E" w:tentative="1">
      <w:start w:val="1"/>
      <w:numFmt w:val="bullet"/>
      <w:lvlText w:val=""/>
      <w:lvlJc w:val="left"/>
      <w:pPr>
        <w:tabs>
          <w:tab w:val="num" w:pos="5760"/>
        </w:tabs>
        <w:ind w:left="5760" w:hanging="360"/>
      </w:pPr>
      <w:rPr>
        <w:rFonts w:ascii="Wingdings" w:hAnsi="Wingdings" w:hint="default"/>
      </w:rPr>
    </w:lvl>
    <w:lvl w:ilvl="8" w:tplc="0064784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D80B9F"/>
    <w:multiLevelType w:val="hybridMultilevel"/>
    <w:tmpl w:val="26F28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F66543C"/>
    <w:multiLevelType w:val="hybridMultilevel"/>
    <w:tmpl w:val="9926CC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07A1546"/>
    <w:multiLevelType w:val="multilevel"/>
    <w:tmpl w:val="040C001D"/>
    <w:styleLink w:val="Listeactuel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8307556"/>
    <w:multiLevelType w:val="multilevel"/>
    <w:tmpl w:val="B662752E"/>
    <w:lvl w:ilvl="0">
      <w:start w:val="1"/>
      <w:numFmt w:val="decimal"/>
      <w:pStyle w:val="Titre1"/>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92813B1"/>
    <w:multiLevelType w:val="hybridMultilevel"/>
    <w:tmpl w:val="BF244B10"/>
    <w:lvl w:ilvl="0" w:tplc="04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1B2273A"/>
    <w:multiLevelType w:val="hybridMultilevel"/>
    <w:tmpl w:val="4140AD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3980621"/>
    <w:multiLevelType w:val="hybridMultilevel"/>
    <w:tmpl w:val="871A5C5C"/>
    <w:lvl w:ilvl="0" w:tplc="A1DE733A">
      <w:start w:val="1"/>
      <w:numFmt w:val="bullet"/>
      <w:lvlText w:val="•"/>
      <w:lvlJc w:val="left"/>
      <w:pPr>
        <w:tabs>
          <w:tab w:val="num" w:pos="720"/>
        </w:tabs>
        <w:ind w:left="720" w:hanging="360"/>
      </w:pPr>
      <w:rPr>
        <w:rFonts w:ascii="Arial" w:hAnsi="Arial" w:hint="default"/>
      </w:rPr>
    </w:lvl>
    <w:lvl w:ilvl="1" w:tplc="EC702C6A" w:tentative="1">
      <w:start w:val="1"/>
      <w:numFmt w:val="bullet"/>
      <w:lvlText w:val="•"/>
      <w:lvlJc w:val="left"/>
      <w:pPr>
        <w:tabs>
          <w:tab w:val="num" w:pos="1440"/>
        </w:tabs>
        <w:ind w:left="1440" w:hanging="360"/>
      </w:pPr>
      <w:rPr>
        <w:rFonts w:ascii="Arial" w:hAnsi="Arial" w:hint="default"/>
      </w:rPr>
    </w:lvl>
    <w:lvl w:ilvl="2" w:tplc="447CCE8A" w:tentative="1">
      <w:start w:val="1"/>
      <w:numFmt w:val="bullet"/>
      <w:lvlText w:val="•"/>
      <w:lvlJc w:val="left"/>
      <w:pPr>
        <w:tabs>
          <w:tab w:val="num" w:pos="2160"/>
        </w:tabs>
        <w:ind w:left="2160" w:hanging="360"/>
      </w:pPr>
      <w:rPr>
        <w:rFonts w:ascii="Arial" w:hAnsi="Arial" w:hint="default"/>
      </w:rPr>
    </w:lvl>
    <w:lvl w:ilvl="3" w:tplc="27C05D4E" w:tentative="1">
      <w:start w:val="1"/>
      <w:numFmt w:val="bullet"/>
      <w:lvlText w:val="•"/>
      <w:lvlJc w:val="left"/>
      <w:pPr>
        <w:tabs>
          <w:tab w:val="num" w:pos="2880"/>
        </w:tabs>
        <w:ind w:left="2880" w:hanging="360"/>
      </w:pPr>
      <w:rPr>
        <w:rFonts w:ascii="Arial" w:hAnsi="Arial" w:hint="default"/>
      </w:rPr>
    </w:lvl>
    <w:lvl w:ilvl="4" w:tplc="E03023E4" w:tentative="1">
      <w:start w:val="1"/>
      <w:numFmt w:val="bullet"/>
      <w:lvlText w:val="•"/>
      <w:lvlJc w:val="left"/>
      <w:pPr>
        <w:tabs>
          <w:tab w:val="num" w:pos="3600"/>
        </w:tabs>
        <w:ind w:left="3600" w:hanging="360"/>
      </w:pPr>
      <w:rPr>
        <w:rFonts w:ascii="Arial" w:hAnsi="Arial" w:hint="default"/>
      </w:rPr>
    </w:lvl>
    <w:lvl w:ilvl="5" w:tplc="30D49FDE" w:tentative="1">
      <w:start w:val="1"/>
      <w:numFmt w:val="bullet"/>
      <w:lvlText w:val="•"/>
      <w:lvlJc w:val="left"/>
      <w:pPr>
        <w:tabs>
          <w:tab w:val="num" w:pos="4320"/>
        </w:tabs>
        <w:ind w:left="4320" w:hanging="360"/>
      </w:pPr>
      <w:rPr>
        <w:rFonts w:ascii="Arial" w:hAnsi="Arial" w:hint="default"/>
      </w:rPr>
    </w:lvl>
    <w:lvl w:ilvl="6" w:tplc="98347508" w:tentative="1">
      <w:start w:val="1"/>
      <w:numFmt w:val="bullet"/>
      <w:lvlText w:val="•"/>
      <w:lvlJc w:val="left"/>
      <w:pPr>
        <w:tabs>
          <w:tab w:val="num" w:pos="5040"/>
        </w:tabs>
        <w:ind w:left="5040" w:hanging="360"/>
      </w:pPr>
      <w:rPr>
        <w:rFonts w:ascii="Arial" w:hAnsi="Arial" w:hint="default"/>
      </w:rPr>
    </w:lvl>
    <w:lvl w:ilvl="7" w:tplc="32008DB0" w:tentative="1">
      <w:start w:val="1"/>
      <w:numFmt w:val="bullet"/>
      <w:lvlText w:val="•"/>
      <w:lvlJc w:val="left"/>
      <w:pPr>
        <w:tabs>
          <w:tab w:val="num" w:pos="5760"/>
        </w:tabs>
        <w:ind w:left="5760" w:hanging="360"/>
      </w:pPr>
      <w:rPr>
        <w:rFonts w:ascii="Arial" w:hAnsi="Arial" w:hint="default"/>
      </w:rPr>
    </w:lvl>
    <w:lvl w:ilvl="8" w:tplc="4538C9D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7880CCC"/>
    <w:multiLevelType w:val="hybridMultilevel"/>
    <w:tmpl w:val="9CEEE10C"/>
    <w:lvl w:ilvl="0" w:tplc="303E49CC">
      <w:start w:val="1"/>
      <w:numFmt w:val="bullet"/>
      <w:pStyle w:val="List1-bullet"/>
      <w:lvlText w:val="−"/>
      <w:lvlJc w:val="left"/>
      <w:pPr>
        <w:ind w:left="1069" w:hanging="360"/>
      </w:pPr>
      <w:rPr>
        <w:lang w:val="en-GB"/>
      </w:rPr>
    </w:lvl>
    <w:lvl w:ilvl="1" w:tplc="A84C0EE6">
      <w:start w:val="1"/>
      <w:numFmt w:val="bullet"/>
      <w:lvlText w:val="o"/>
      <w:lvlJc w:val="left"/>
      <w:pPr>
        <w:ind w:left="1792" w:hanging="360"/>
      </w:pPr>
    </w:lvl>
    <w:lvl w:ilvl="2" w:tplc="43128B4C">
      <w:start w:val="1"/>
      <w:numFmt w:val="bullet"/>
      <w:lvlText w:val=""/>
      <w:lvlJc w:val="left"/>
      <w:pPr>
        <w:ind w:left="2512" w:hanging="360"/>
      </w:pPr>
    </w:lvl>
    <w:lvl w:ilvl="3" w:tplc="C1F66C50">
      <w:start w:val="1"/>
      <w:numFmt w:val="bullet"/>
      <w:lvlText w:val=""/>
      <w:lvlJc w:val="left"/>
      <w:pPr>
        <w:ind w:left="3232" w:hanging="360"/>
      </w:pPr>
    </w:lvl>
    <w:lvl w:ilvl="4" w:tplc="F4AC34BA" w:tentative="1">
      <w:start w:val="1"/>
      <w:numFmt w:val="bullet"/>
      <w:lvlText w:val="o"/>
      <w:lvlJc w:val="left"/>
      <w:pPr>
        <w:ind w:left="3952" w:hanging="360"/>
      </w:pPr>
    </w:lvl>
    <w:lvl w:ilvl="5" w:tplc="B89A8D7C" w:tentative="1">
      <w:start w:val="1"/>
      <w:numFmt w:val="bullet"/>
      <w:lvlText w:val=""/>
      <w:lvlJc w:val="left"/>
      <w:pPr>
        <w:ind w:left="4672" w:hanging="360"/>
      </w:pPr>
    </w:lvl>
    <w:lvl w:ilvl="6" w:tplc="965246F4" w:tentative="1">
      <w:start w:val="1"/>
      <w:numFmt w:val="bullet"/>
      <w:lvlText w:val=""/>
      <w:lvlJc w:val="left"/>
      <w:pPr>
        <w:ind w:left="5392" w:hanging="360"/>
      </w:pPr>
    </w:lvl>
    <w:lvl w:ilvl="7" w:tplc="44EEAEB6" w:tentative="1">
      <w:start w:val="1"/>
      <w:numFmt w:val="bullet"/>
      <w:lvlText w:val="o"/>
      <w:lvlJc w:val="left"/>
      <w:pPr>
        <w:ind w:left="6112" w:hanging="360"/>
      </w:pPr>
    </w:lvl>
    <w:lvl w:ilvl="8" w:tplc="1E028C0C" w:tentative="1">
      <w:start w:val="1"/>
      <w:numFmt w:val="bullet"/>
      <w:lvlText w:val=""/>
      <w:lvlJc w:val="left"/>
      <w:pPr>
        <w:ind w:left="6832" w:hanging="360"/>
      </w:pPr>
    </w:lvl>
  </w:abstractNum>
  <w:abstractNum w:abstractNumId="25" w15:restartNumberingAfterBreak="0">
    <w:nsid w:val="37F032FD"/>
    <w:multiLevelType w:val="hybridMultilevel"/>
    <w:tmpl w:val="801884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A5E749A"/>
    <w:multiLevelType w:val="hybridMultilevel"/>
    <w:tmpl w:val="1322483E"/>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C2B6FFE"/>
    <w:multiLevelType w:val="hybridMultilevel"/>
    <w:tmpl w:val="2C02AF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CFB21EC"/>
    <w:multiLevelType w:val="hybridMultilevel"/>
    <w:tmpl w:val="398AAF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78F01FE"/>
    <w:multiLevelType w:val="hybridMultilevel"/>
    <w:tmpl w:val="526C7390"/>
    <w:lvl w:ilvl="0" w:tplc="C514039E">
      <w:start w:val="1"/>
      <w:numFmt w:val="bullet"/>
      <w:lvlText w:val="•"/>
      <w:lvlJc w:val="left"/>
      <w:pPr>
        <w:tabs>
          <w:tab w:val="num" w:pos="720"/>
        </w:tabs>
        <w:ind w:left="720" w:hanging="360"/>
      </w:pPr>
      <w:rPr>
        <w:rFonts w:ascii="Arial" w:hAnsi="Arial" w:hint="default"/>
      </w:rPr>
    </w:lvl>
    <w:lvl w:ilvl="1" w:tplc="1594276C" w:tentative="1">
      <w:start w:val="1"/>
      <w:numFmt w:val="bullet"/>
      <w:lvlText w:val="•"/>
      <w:lvlJc w:val="left"/>
      <w:pPr>
        <w:tabs>
          <w:tab w:val="num" w:pos="1440"/>
        </w:tabs>
        <w:ind w:left="1440" w:hanging="360"/>
      </w:pPr>
      <w:rPr>
        <w:rFonts w:ascii="Arial" w:hAnsi="Arial" w:hint="default"/>
      </w:rPr>
    </w:lvl>
    <w:lvl w:ilvl="2" w:tplc="AFD86DE2" w:tentative="1">
      <w:start w:val="1"/>
      <w:numFmt w:val="bullet"/>
      <w:lvlText w:val="•"/>
      <w:lvlJc w:val="left"/>
      <w:pPr>
        <w:tabs>
          <w:tab w:val="num" w:pos="2160"/>
        </w:tabs>
        <w:ind w:left="2160" w:hanging="360"/>
      </w:pPr>
      <w:rPr>
        <w:rFonts w:ascii="Arial" w:hAnsi="Arial" w:hint="default"/>
      </w:rPr>
    </w:lvl>
    <w:lvl w:ilvl="3" w:tplc="F89403CE" w:tentative="1">
      <w:start w:val="1"/>
      <w:numFmt w:val="bullet"/>
      <w:lvlText w:val="•"/>
      <w:lvlJc w:val="left"/>
      <w:pPr>
        <w:tabs>
          <w:tab w:val="num" w:pos="2880"/>
        </w:tabs>
        <w:ind w:left="2880" w:hanging="360"/>
      </w:pPr>
      <w:rPr>
        <w:rFonts w:ascii="Arial" w:hAnsi="Arial" w:hint="default"/>
      </w:rPr>
    </w:lvl>
    <w:lvl w:ilvl="4" w:tplc="678CD1F0" w:tentative="1">
      <w:start w:val="1"/>
      <w:numFmt w:val="bullet"/>
      <w:lvlText w:val="•"/>
      <w:lvlJc w:val="left"/>
      <w:pPr>
        <w:tabs>
          <w:tab w:val="num" w:pos="3600"/>
        </w:tabs>
        <w:ind w:left="3600" w:hanging="360"/>
      </w:pPr>
      <w:rPr>
        <w:rFonts w:ascii="Arial" w:hAnsi="Arial" w:hint="default"/>
      </w:rPr>
    </w:lvl>
    <w:lvl w:ilvl="5" w:tplc="7E589968" w:tentative="1">
      <w:start w:val="1"/>
      <w:numFmt w:val="bullet"/>
      <w:lvlText w:val="•"/>
      <w:lvlJc w:val="left"/>
      <w:pPr>
        <w:tabs>
          <w:tab w:val="num" w:pos="4320"/>
        </w:tabs>
        <w:ind w:left="4320" w:hanging="360"/>
      </w:pPr>
      <w:rPr>
        <w:rFonts w:ascii="Arial" w:hAnsi="Arial" w:hint="default"/>
      </w:rPr>
    </w:lvl>
    <w:lvl w:ilvl="6" w:tplc="AA3C61EE" w:tentative="1">
      <w:start w:val="1"/>
      <w:numFmt w:val="bullet"/>
      <w:lvlText w:val="•"/>
      <w:lvlJc w:val="left"/>
      <w:pPr>
        <w:tabs>
          <w:tab w:val="num" w:pos="5040"/>
        </w:tabs>
        <w:ind w:left="5040" w:hanging="360"/>
      </w:pPr>
      <w:rPr>
        <w:rFonts w:ascii="Arial" w:hAnsi="Arial" w:hint="default"/>
      </w:rPr>
    </w:lvl>
    <w:lvl w:ilvl="7" w:tplc="78AA9496" w:tentative="1">
      <w:start w:val="1"/>
      <w:numFmt w:val="bullet"/>
      <w:lvlText w:val="•"/>
      <w:lvlJc w:val="left"/>
      <w:pPr>
        <w:tabs>
          <w:tab w:val="num" w:pos="5760"/>
        </w:tabs>
        <w:ind w:left="5760" w:hanging="360"/>
      </w:pPr>
      <w:rPr>
        <w:rFonts w:ascii="Arial" w:hAnsi="Arial" w:hint="default"/>
      </w:rPr>
    </w:lvl>
    <w:lvl w:ilvl="8" w:tplc="CF265A4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EC34D85"/>
    <w:multiLevelType w:val="hybridMultilevel"/>
    <w:tmpl w:val="3E12A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3047872"/>
    <w:multiLevelType w:val="hybridMultilevel"/>
    <w:tmpl w:val="0AB4F5DC"/>
    <w:lvl w:ilvl="0" w:tplc="BB82E8C4">
      <w:start w:val="1"/>
      <w:numFmt w:val="bullet"/>
      <w:lvlText w:val=""/>
      <w:lvlJc w:val="left"/>
      <w:pPr>
        <w:tabs>
          <w:tab w:val="num" w:pos="720"/>
        </w:tabs>
        <w:ind w:left="720" w:hanging="360"/>
      </w:pPr>
      <w:rPr>
        <w:rFonts w:ascii="Wingdings" w:hAnsi="Wingdings" w:hint="default"/>
      </w:rPr>
    </w:lvl>
    <w:lvl w:ilvl="1" w:tplc="6468515E">
      <w:start w:val="1"/>
      <w:numFmt w:val="bullet"/>
      <w:lvlText w:val=""/>
      <w:lvlJc w:val="left"/>
      <w:pPr>
        <w:tabs>
          <w:tab w:val="num" w:pos="1440"/>
        </w:tabs>
        <w:ind w:left="1440" w:hanging="360"/>
      </w:pPr>
      <w:rPr>
        <w:rFonts w:ascii="Wingdings" w:hAnsi="Wingdings" w:hint="default"/>
      </w:rPr>
    </w:lvl>
    <w:lvl w:ilvl="2" w:tplc="05108FAA" w:tentative="1">
      <w:start w:val="1"/>
      <w:numFmt w:val="bullet"/>
      <w:lvlText w:val=""/>
      <w:lvlJc w:val="left"/>
      <w:pPr>
        <w:tabs>
          <w:tab w:val="num" w:pos="2160"/>
        </w:tabs>
        <w:ind w:left="2160" w:hanging="360"/>
      </w:pPr>
      <w:rPr>
        <w:rFonts w:ascii="Wingdings" w:hAnsi="Wingdings" w:hint="default"/>
      </w:rPr>
    </w:lvl>
    <w:lvl w:ilvl="3" w:tplc="0E12362C" w:tentative="1">
      <w:start w:val="1"/>
      <w:numFmt w:val="bullet"/>
      <w:lvlText w:val=""/>
      <w:lvlJc w:val="left"/>
      <w:pPr>
        <w:tabs>
          <w:tab w:val="num" w:pos="2880"/>
        </w:tabs>
        <w:ind w:left="2880" w:hanging="360"/>
      </w:pPr>
      <w:rPr>
        <w:rFonts w:ascii="Wingdings" w:hAnsi="Wingdings" w:hint="default"/>
      </w:rPr>
    </w:lvl>
    <w:lvl w:ilvl="4" w:tplc="B86488BE" w:tentative="1">
      <w:start w:val="1"/>
      <w:numFmt w:val="bullet"/>
      <w:lvlText w:val=""/>
      <w:lvlJc w:val="left"/>
      <w:pPr>
        <w:tabs>
          <w:tab w:val="num" w:pos="3600"/>
        </w:tabs>
        <w:ind w:left="3600" w:hanging="360"/>
      </w:pPr>
      <w:rPr>
        <w:rFonts w:ascii="Wingdings" w:hAnsi="Wingdings" w:hint="default"/>
      </w:rPr>
    </w:lvl>
    <w:lvl w:ilvl="5" w:tplc="751C0E34" w:tentative="1">
      <w:start w:val="1"/>
      <w:numFmt w:val="bullet"/>
      <w:lvlText w:val=""/>
      <w:lvlJc w:val="left"/>
      <w:pPr>
        <w:tabs>
          <w:tab w:val="num" w:pos="4320"/>
        </w:tabs>
        <w:ind w:left="4320" w:hanging="360"/>
      </w:pPr>
      <w:rPr>
        <w:rFonts w:ascii="Wingdings" w:hAnsi="Wingdings" w:hint="default"/>
      </w:rPr>
    </w:lvl>
    <w:lvl w:ilvl="6" w:tplc="1B7A68D0" w:tentative="1">
      <w:start w:val="1"/>
      <w:numFmt w:val="bullet"/>
      <w:lvlText w:val=""/>
      <w:lvlJc w:val="left"/>
      <w:pPr>
        <w:tabs>
          <w:tab w:val="num" w:pos="5040"/>
        </w:tabs>
        <w:ind w:left="5040" w:hanging="360"/>
      </w:pPr>
      <w:rPr>
        <w:rFonts w:ascii="Wingdings" w:hAnsi="Wingdings" w:hint="default"/>
      </w:rPr>
    </w:lvl>
    <w:lvl w:ilvl="7" w:tplc="78525B4E" w:tentative="1">
      <w:start w:val="1"/>
      <w:numFmt w:val="bullet"/>
      <w:lvlText w:val=""/>
      <w:lvlJc w:val="left"/>
      <w:pPr>
        <w:tabs>
          <w:tab w:val="num" w:pos="5760"/>
        </w:tabs>
        <w:ind w:left="5760" w:hanging="360"/>
      </w:pPr>
      <w:rPr>
        <w:rFonts w:ascii="Wingdings" w:hAnsi="Wingdings" w:hint="default"/>
      </w:rPr>
    </w:lvl>
    <w:lvl w:ilvl="8" w:tplc="5748E21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FD45C1"/>
    <w:multiLevelType w:val="hybridMultilevel"/>
    <w:tmpl w:val="BCA492B4"/>
    <w:lvl w:ilvl="0" w:tplc="9DC2C4F8">
      <w:start w:val="1"/>
      <w:numFmt w:val="bullet"/>
      <w:lvlText w:val=""/>
      <w:lvlJc w:val="left"/>
      <w:pPr>
        <w:ind w:left="720" w:hanging="360"/>
      </w:pPr>
      <w:rPr>
        <w:rFonts w:ascii="Symbol" w:hAnsi="Symbol" w:hint="default"/>
      </w:rPr>
    </w:lvl>
    <w:lvl w:ilvl="1" w:tplc="04D478F4">
      <w:start w:val="1"/>
      <w:numFmt w:val="bullet"/>
      <w:lvlText w:val="o"/>
      <w:lvlJc w:val="left"/>
      <w:pPr>
        <w:ind w:left="1440" w:hanging="360"/>
      </w:pPr>
      <w:rPr>
        <w:rFonts w:ascii="Courier New" w:hAnsi="Courier New" w:hint="default"/>
      </w:rPr>
    </w:lvl>
    <w:lvl w:ilvl="2" w:tplc="C5B2C1EA">
      <w:start w:val="1"/>
      <w:numFmt w:val="bullet"/>
      <w:lvlText w:val=""/>
      <w:lvlJc w:val="left"/>
      <w:pPr>
        <w:ind w:left="2160" w:hanging="360"/>
      </w:pPr>
      <w:rPr>
        <w:rFonts w:ascii="Wingdings" w:hAnsi="Wingdings" w:hint="default"/>
      </w:rPr>
    </w:lvl>
    <w:lvl w:ilvl="3" w:tplc="BC967896">
      <w:start w:val="1"/>
      <w:numFmt w:val="bullet"/>
      <w:lvlText w:val=""/>
      <w:lvlJc w:val="left"/>
      <w:pPr>
        <w:ind w:left="2880" w:hanging="360"/>
      </w:pPr>
      <w:rPr>
        <w:rFonts w:ascii="Symbol" w:hAnsi="Symbol" w:hint="default"/>
      </w:rPr>
    </w:lvl>
    <w:lvl w:ilvl="4" w:tplc="A2DA1644">
      <w:start w:val="1"/>
      <w:numFmt w:val="bullet"/>
      <w:lvlText w:val="o"/>
      <w:lvlJc w:val="left"/>
      <w:pPr>
        <w:ind w:left="3600" w:hanging="360"/>
      </w:pPr>
      <w:rPr>
        <w:rFonts w:ascii="Courier New" w:hAnsi="Courier New" w:hint="default"/>
      </w:rPr>
    </w:lvl>
    <w:lvl w:ilvl="5" w:tplc="6FBE28A8">
      <w:start w:val="1"/>
      <w:numFmt w:val="bullet"/>
      <w:lvlText w:val=""/>
      <w:lvlJc w:val="left"/>
      <w:pPr>
        <w:ind w:left="4320" w:hanging="360"/>
      </w:pPr>
      <w:rPr>
        <w:rFonts w:ascii="Wingdings" w:hAnsi="Wingdings" w:hint="default"/>
      </w:rPr>
    </w:lvl>
    <w:lvl w:ilvl="6" w:tplc="3FB8D078">
      <w:start w:val="1"/>
      <w:numFmt w:val="bullet"/>
      <w:lvlText w:val=""/>
      <w:lvlJc w:val="left"/>
      <w:pPr>
        <w:ind w:left="5040" w:hanging="360"/>
      </w:pPr>
      <w:rPr>
        <w:rFonts w:ascii="Symbol" w:hAnsi="Symbol" w:hint="default"/>
      </w:rPr>
    </w:lvl>
    <w:lvl w:ilvl="7" w:tplc="09CE60A8">
      <w:start w:val="1"/>
      <w:numFmt w:val="bullet"/>
      <w:lvlText w:val="o"/>
      <w:lvlJc w:val="left"/>
      <w:pPr>
        <w:ind w:left="5760" w:hanging="360"/>
      </w:pPr>
      <w:rPr>
        <w:rFonts w:ascii="Courier New" w:hAnsi="Courier New" w:hint="default"/>
      </w:rPr>
    </w:lvl>
    <w:lvl w:ilvl="8" w:tplc="7E9466D2">
      <w:start w:val="1"/>
      <w:numFmt w:val="bullet"/>
      <w:lvlText w:val=""/>
      <w:lvlJc w:val="left"/>
      <w:pPr>
        <w:ind w:left="6480" w:hanging="360"/>
      </w:pPr>
      <w:rPr>
        <w:rFonts w:ascii="Wingdings" w:hAnsi="Wingdings" w:hint="default"/>
      </w:rPr>
    </w:lvl>
  </w:abstractNum>
  <w:abstractNum w:abstractNumId="33" w15:restartNumberingAfterBreak="0">
    <w:nsid w:val="7C8D7C3C"/>
    <w:multiLevelType w:val="hybridMultilevel"/>
    <w:tmpl w:val="BEF2EAB0"/>
    <w:lvl w:ilvl="0" w:tplc="EFCE3674">
      <w:start w:val="1"/>
      <w:numFmt w:val="bullet"/>
      <w:lvlText w:val=""/>
      <w:lvlJc w:val="left"/>
      <w:pPr>
        <w:ind w:left="720" w:hanging="360"/>
      </w:pPr>
      <w:rPr>
        <w:rFonts w:ascii="Symbol" w:hAnsi="Symbol" w:hint="default"/>
      </w:rPr>
    </w:lvl>
    <w:lvl w:ilvl="1" w:tplc="4A9CAACA">
      <w:start w:val="1"/>
      <w:numFmt w:val="bullet"/>
      <w:lvlText w:val="o"/>
      <w:lvlJc w:val="left"/>
      <w:pPr>
        <w:ind w:left="1440" w:hanging="360"/>
      </w:pPr>
      <w:rPr>
        <w:rFonts w:ascii="Courier New" w:hAnsi="Courier New" w:hint="default"/>
      </w:rPr>
    </w:lvl>
    <w:lvl w:ilvl="2" w:tplc="8F68FE02">
      <w:start w:val="1"/>
      <w:numFmt w:val="bullet"/>
      <w:lvlText w:val=""/>
      <w:lvlJc w:val="left"/>
      <w:pPr>
        <w:ind w:left="2160" w:hanging="360"/>
      </w:pPr>
      <w:rPr>
        <w:rFonts w:ascii="Wingdings" w:hAnsi="Wingdings" w:hint="default"/>
      </w:rPr>
    </w:lvl>
    <w:lvl w:ilvl="3" w:tplc="34AE6858">
      <w:start w:val="1"/>
      <w:numFmt w:val="bullet"/>
      <w:lvlText w:val=""/>
      <w:lvlJc w:val="left"/>
      <w:pPr>
        <w:ind w:left="2880" w:hanging="360"/>
      </w:pPr>
      <w:rPr>
        <w:rFonts w:ascii="Symbol" w:hAnsi="Symbol" w:hint="default"/>
      </w:rPr>
    </w:lvl>
    <w:lvl w:ilvl="4" w:tplc="61742894">
      <w:start w:val="1"/>
      <w:numFmt w:val="bullet"/>
      <w:lvlText w:val="o"/>
      <w:lvlJc w:val="left"/>
      <w:pPr>
        <w:ind w:left="3600" w:hanging="360"/>
      </w:pPr>
      <w:rPr>
        <w:rFonts w:ascii="Courier New" w:hAnsi="Courier New" w:hint="default"/>
      </w:rPr>
    </w:lvl>
    <w:lvl w:ilvl="5" w:tplc="24C89A3E">
      <w:start w:val="1"/>
      <w:numFmt w:val="bullet"/>
      <w:lvlText w:val=""/>
      <w:lvlJc w:val="left"/>
      <w:pPr>
        <w:ind w:left="4320" w:hanging="360"/>
      </w:pPr>
      <w:rPr>
        <w:rFonts w:ascii="Wingdings" w:hAnsi="Wingdings" w:hint="default"/>
      </w:rPr>
    </w:lvl>
    <w:lvl w:ilvl="6" w:tplc="DD8E277C">
      <w:start w:val="1"/>
      <w:numFmt w:val="bullet"/>
      <w:lvlText w:val=""/>
      <w:lvlJc w:val="left"/>
      <w:pPr>
        <w:ind w:left="5040" w:hanging="360"/>
      </w:pPr>
      <w:rPr>
        <w:rFonts w:ascii="Symbol" w:hAnsi="Symbol" w:hint="default"/>
      </w:rPr>
    </w:lvl>
    <w:lvl w:ilvl="7" w:tplc="4B7C5F6A">
      <w:start w:val="1"/>
      <w:numFmt w:val="bullet"/>
      <w:lvlText w:val="o"/>
      <w:lvlJc w:val="left"/>
      <w:pPr>
        <w:ind w:left="5760" w:hanging="360"/>
      </w:pPr>
      <w:rPr>
        <w:rFonts w:ascii="Courier New" w:hAnsi="Courier New" w:hint="default"/>
      </w:rPr>
    </w:lvl>
    <w:lvl w:ilvl="8" w:tplc="CD4EDAB6">
      <w:start w:val="1"/>
      <w:numFmt w:val="bullet"/>
      <w:lvlText w:val=""/>
      <w:lvlJc w:val="left"/>
      <w:pPr>
        <w:ind w:left="6480" w:hanging="360"/>
      </w:pPr>
      <w:rPr>
        <w:rFonts w:ascii="Wingdings" w:hAnsi="Wingdings" w:hint="default"/>
      </w:rPr>
    </w:lvl>
  </w:abstractNum>
  <w:abstractNum w:abstractNumId="34" w15:restartNumberingAfterBreak="0">
    <w:nsid w:val="7EE1432B"/>
    <w:multiLevelType w:val="hybridMultilevel"/>
    <w:tmpl w:val="6FC8B9A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81147458">
    <w:abstractNumId w:val="12"/>
  </w:num>
  <w:num w:numId="2" w16cid:durableId="525293593">
    <w:abstractNumId w:val="32"/>
  </w:num>
  <w:num w:numId="3" w16cid:durableId="2086493947">
    <w:abstractNumId w:val="8"/>
  </w:num>
  <w:num w:numId="4" w16cid:durableId="1715303275">
    <w:abstractNumId w:val="3"/>
  </w:num>
  <w:num w:numId="5" w16cid:durableId="1174107418">
    <w:abstractNumId w:val="2"/>
  </w:num>
  <w:num w:numId="6" w16cid:durableId="214199022">
    <w:abstractNumId w:val="1"/>
  </w:num>
  <w:num w:numId="7" w16cid:durableId="562759381">
    <w:abstractNumId w:val="0"/>
  </w:num>
  <w:num w:numId="8" w16cid:durableId="643506949">
    <w:abstractNumId w:val="9"/>
  </w:num>
  <w:num w:numId="9" w16cid:durableId="2060277065">
    <w:abstractNumId w:val="7"/>
  </w:num>
  <w:num w:numId="10" w16cid:durableId="1856378511">
    <w:abstractNumId w:val="6"/>
  </w:num>
  <w:num w:numId="11" w16cid:durableId="2024281846">
    <w:abstractNumId w:val="5"/>
  </w:num>
  <w:num w:numId="12" w16cid:durableId="1302156808">
    <w:abstractNumId w:val="4"/>
  </w:num>
  <w:num w:numId="13" w16cid:durableId="1629966314">
    <w:abstractNumId w:val="20"/>
  </w:num>
  <w:num w:numId="14" w16cid:durableId="1699038433">
    <w:abstractNumId w:val="19"/>
  </w:num>
  <w:num w:numId="15" w16cid:durableId="1532184159">
    <w:abstractNumId w:val="13"/>
  </w:num>
  <w:num w:numId="16" w16cid:durableId="2070575076">
    <w:abstractNumId w:val="14"/>
  </w:num>
  <w:num w:numId="17" w16cid:durableId="1366056217">
    <w:abstractNumId w:val="28"/>
  </w:num>
  <w:num w:numId="18" w16cid:durableId="890381805">
    <w:abstractNumId w:val="11"/>
  </w:num>
  <w:num w:numId="19" w16cid:durableId="406344032">
    <w:abstractNumId w:val="24"/>
  </w:num>
  <w:num w:numId="20" w16cid:durableId="1549342026">
    <w:abstractNumId w:val="22"/>
  </w:num>
  <w:num w:numId="21" w16cid:durableId="949749350">
    <w:abstractNumId w:val="33"/>
  </w:num>
  <w:num w:numId="22" w16cid:durableId="153377526">
    <w:abstractNumId w:val="27"/>
  </w:num>
  <w:num w:numId="23" w16cid:durableId="201139602">
    <w:abstractNumId w:val="17"/>
  </w:num>
  <w:num w:numId="24" w16cid:durableId="111175945">
    <w:abstractNumId w:val="26"/>
  </w:num>
  <w:num w:numId="25" w16cid:durableId="882399315">
    <w:abstractNumId w:val="30"/>
  </w:num>
  <w:num w:numId="26" w16cid:durableId="2006742966">
    <w:abstractNumId w:val="10"/>
  </w:num>
  <w:num w:numId="27" w16cid:durableId="1347362528">
    <w:abstractNumId w:val="31"/>
  </w:num>
  <w:num w:numId="28" w16cid:durableId="793906194">
    <w:abstractNumId w:val="34"/>
  </w:num>
  <w:num w:numId="29" w16cid:durableId="978417050">
    <w:abstractNumId w:val="15"/>
  </w:num>
  <w:num w:numId="30" w16cid:durableId="1786075705">
    <w:abstractNumId w:val="29"/>
  </w:num>
  <w:num w:numId="31" w16cid:durableId="2033649678">
    <w:abstractNumId w:val="23"/>
  </w:num>
  <w:num w:numId="32" w16cid:durableId="10377046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8876344">
    <w:abstractNumId w:val="25"/>
  </w:num>
  <w:num w:numId="34" w16cid:durableId="712998630">
    <w:abstractNumId w:val="18"/>
  </w:num>
  <w:num w:numId="35" w16cid:durableId="19156228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isplayBackgroundShape/>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F2E"/>
    <w:rsid w:val="00001D35"/>
    <w:rsid w:val="00011277"/>
    <w:rsid w:val="000113CC"/>
    <w:rsid w:val="000221D5"/>
    <w:rsid w:val="00022FD0"/>
    <w:rsid w:val="0002527E"/>
    <w:rsid w:val="00026EBC"/>
    <w:rsid w:val="00027437"/>
    <w:rsid w:val="00027F71"/>
    <w:rsid w:val="00035B53"/>
    <w:rsid w:val="000451FE"/>
    <w:rsid w:val="00047090"/>
    <w:rsid w:val="00047C03"/>
    <w:rsid w:val="00050722"/>
    <w:rsid w:val="00050E07"/>
    <w:rsid w:val="00051128"/>
    <w:rsid w:val="0005164B"/>
    <w:rsid w:val="00053990"/>
    <w:rsid w:val="0005503E"/>
    <w:rsid w:val="00056146"/>
    <w:rsid w:val="00060338"/>
    <w:rsid w:val="000617E1"/>
    <w:rsid w:val="00062C7E"/>
    <w:rsid w:val="00065AEA"/>
    <w:rsid w:val="0006684A"/>
    <w:rsid w:val="00066FDB"/>
    <w:rsid w:val="0007115D"/>
    <w:rsid w:val="00073E7D"/>
    <w:rsid w:val="00075EAD"/>
    <w:rsid w:val="00076E09"/>
    <w:rsid w:val="00077AC1"/>
    <w:rsid w:val="000815BE"/>
    <w:rsid w:val="00083D5E"/>
    <w:rsid w:val="000842C5"/>
    <w:rsid w:val="00087EC2"/>
    <w:rsid w:val="00090A6D"/>
    <w:rsid w:val="00090DB8"/>
    <w:rsid w:val="00092816"/>
    <w:rsid w:val="00094AC8"/>
    <w:rsid w:val="0009533C"/>
    <w:rsid w:val="000A00A5"/>
    <w:rsid w:val="000A5159"/>
    <w:rsid w:val="000A5ABB"/>
    <w:rsid w:val="000B298F"/>
    <w:rsid w:val="000B2BBE"/>
    <w:rsid w:val="000B2E29"/>
    <w:rsid w:val="000B4C6E"/>
    <w:rsid w:val="000B7CDF"/>
    <w:rsid w:val="000C118C"/>
    <w:rsid w:val="000C1EBB"/>
    <w:rsid w:val="000C312F"/>
    <w:rsid w:val="000C33F2"/>
    <w:rsid w:val="000C4D9F"/>
    <w:rsid w:val="000D4067"/>
    <w:rsid w:val="000D566A"/>
    <w:rsid w:val="000D6F70"/>
    <w:rsid w:val="000E0BBF"/>
    <w:rsid w:val="000E1CA8"/>
    <w:rsid w:val="000E3F66"/>
    <w:rsid w:val="000E460E"/>
    <w:rsid w:val="000E74DF"/>
    <w:rsid w:val="000F05D9"/>
    <w:rsid w:val="000F130E"/>
    <w:rsid w:val="000F1522"/>
    <w:rsid w:val="000F218C"/>
    <w:rsid w:val="000F4E92"/>
    <w:rsid w:val="000F7E48"/>
    <w:rsid w:val="00104D71"/>
    <w:rsid w:val="00107DFF"/>
    <w:rsid w:val="001111DD"/>
    <w:rsid w:val="001126CE"/>
    <w:rsid w:val="0011336C"/>
    <w:rsid w:val="00115307"/>
    <w:rsid w:val="00123D9C"/>
    <w:rsid w:val="00124899"/>
    <w:rsid w:val="00126963"/>
    <w:rsid w:val="001329D6"/>
    <w:rsid w:val="001343F4"/>
    <w:rsid w:val="00135188"/>
    <w:rsid w:val="00141056"/>
    <w:rsid w:val="0014132C"/>
    <w:rsid w:val="0014328E"/>
    <w:rsid w:val="00153614"/>
    <w:rsid w:val="0015403D"/>
    <w:rsid w:val="0015462B"/>
    <w:rsid w:val="001559DD"/>
    <w:rsid w:val="001647B5"/>
    <w:rsid w:val="00164A9F"/>
    <w:rsid w:val="001659F7"/>
    <w:rsid w:val="001667F5"/>
    <w:rsid w:val="0016720B"/>
    <w:rsid w:val="00174C3E"/>
    <w:rsid w:val="001753A1"/>
    <w:rsid w:val="00181FF4"/>
    <w:rsid w:val="00182C2B"/>
    <w:rsid w:val="001951E7"/>
    <w:rsid w:val="0019594A"/>
    <w:rsid w:val="001A2075"/>
    <w:rsid w:val="001A2BC1"/>
    <w:rsid w:val="001A416E"/>
    <w:rsid w:val="001A67CB"/>
    <w:rsid w:val="001A6B5E"/>
    <w:rsid w:val="001A7006"/>
    <w:rsid w:val="001A7DA5"/>
    <w:rsid w:val="001B190E"/>
    <w:rsid w:val="001B1C12"/>
    <w:rsid w:val="001B35D5"/>
    <w:rsid w:val="001B3855"/>
    <w:rsid w:val="001B4989"/>
    <w:rsid w:val="001B4BA9"/>
    <w:rsid w:val="001B5067"/>
    <w:rsid w:val="001B50BC"/>
    <w:rsid w:val="001B52A5"/>
    <w:rsid w:val="001B553F"/>
    <w:rsid w:val="001B5827"/>
    <w:rsid w:val="001B6143"/>
    <w:rsid w:val="001B6290"/>
    <w:rsid w:val="001B7A34"/>
    <w:rsid w:val="001C2D6E"/>
    <w:rsid w:val="001C3ED9"/>
    <w:rsid w:val="001C413E"/>
    <w:rsid w:val="001C44C1"/>
    <w:rsid w:val="001C500A"/>
    <w:rsid w:val="001C5777"/>
    <w:rsid w:val="001C635D"/>
    <w:rsid w:val="001C73C3"/>
    <w:rsid w:val="001D3B73"/>
    <w:rsid w:val="001D48F1"/>
    <w:rsid w:val="001D4E08"/>
    <w:rsid w:val="001D6C20"/>
    <w:rsid w:val="001D75EB"/>
    <w:rsid w:val="001E1B9C"/>
    <w:rsid w:val="001E2706"/>
    <w:rsid w:val="001E3641"/>
    <w:rsid w:val="001E4BBC"/>
    <w:rsid w:val="001E50CB"/>
    <w:rsid w:val="001F30A8"/>
    <w:rsid w:val="001F3D7A"/>
    <w:rsid w:val="001F4F90"/>
    <w:rsid w:val="00202C76"/>
    <w:rsid w:val="00203ECB"/>
    <w:rsid w:val="00205781"/>
    <w:rsid w:val="0020690C"/>
    <w:rsid w:val="00206BBB"/>
    <w:rsid w:val="002158B8"/>
    <w:rsid w:val="0022045C"/>
    <w:rsid w:val="0022051F"/>
    <w:rsid w:val="002209A4"/>
    <w:rsid w:val="00222D27"/>
    <w:rsid w:val="00226195"/>
    <w:rsid w:val="002263DD"/>
    <w:rsid w:val="002304AA"/>
    <w:rsid w:val="00230C22"/>
    <w:rsid w:val="002341DA"/>
    <w:rsid w:val="002365B1"/>
    <w:rsid w:val="002367F4"/>
    <w:rsid w:val="0024168A"/>
    <w:rsid w:val="00241DC0"/>
    <w:rsid w:val="00242A96"/>
    <w:rsid w:val="00245FBC"/>
    <w:rsid w:val="00254AB3"/>
    <w:rsid w:val="002563E0"/>
    <w:rsid w:val="00256C84"/>
    <w:rsid w:val="002578BE"/>
    <w:rsid w:val="00260956"/>
    <w:rsid w:val="002619FE"/>
    <w:rsid w:val="00262D4E"/>
    <w:rsid w:val="00263906"/>
    <w:rsid w:val="00266C13"/>
    <w:rsid w:val="0027070A"/>
    <w:rsid w:val="002711D2"/>
    <w:rsid w:val="002728DA"/>
    <w:rsid w:val="00272C12"/>
    <w:rsid w:val="00274EB6"/>
    <w:rsid w:val="00276D37"/>
    <w:rsid w:val="00276F3E"/>
    <w:rsid w:val="00280C4D"/>
    <w:rsid w:val="002819D8"/>
    <w:rsid w:val="002829BE"/>
    <w:rsid w:val="00282E78"/>
    <w:rsid w:val="002830B5"/>
    <w:rsid w:val="00283753"/>
    <w:rsid w:val="00283C17"/>
    <w:rsid w:val="002874A3"/>
    <w:rsid w:val="002877C0"/>
    <w:rsid w:val="00292080"/>
    <w:rsid w:val="002920AE"/>
    <w:rsid w:val="002945A1"/>
    <w:rsid w:val="00297BEC"/>
    <w:rsid w:val="002B0F2A"/>
    <w:rsid w:val="002B3712"/>
    <w:rsid w:val="002B737C"/>
    <w:rsid w:val="002B7502"/>
    <w:rsid w:val="002B7CBC"/>
    <w:rsid w:val="002C09F4"/>
    <w:rsid w:val="002C0B4C"/>
    <w:rsid w:val="002C183B"/>
    <w:rsid w:val="002C2F6E"/>
    <w:rsid w:val="002C449B"/>
    <w:rsid w:val="002D2736"/>
    <w:rsid w:val="002D2C18"/>
    <w:rsid w:val="002D50B8"/>
    <w:rsid w:val="002E3C17"/>
    <w:rsid w:val="002F296B"/>
    <w:rsid w:val="002F3921"/>
    <w:rsid w:val="002F3D16"/>
    <w:rsid w:val="002F4AD7"/>
    <w:rsid w:val="002F7C93"/>
    <w:rsid w:val="003022D4"/>
    <w:rsid w:val="003044E4"/>
    <w:rsid w:val="003079AF"/>
    <w:rsid w:val="0031421E"/>
    <w:rsid w:val="00314B8D"/>
    <w:rsid w:val="0031625F"/>
    <w:rsid w:val="00317CA7"/>
    <w:rsid w:val="003204AC"/>
    <w:rsid w:val="003250FB"/>
    <w:rsid w:val="0032531C"/>
    <w:rsid w:val="00327454"/>
    <w:rsid w:val="003307FB"/>
    <w:rsid w:val="003327DF"/>
    <w:rsid w:val="00332F45"/>
    <w:rsid w:val="0033570B"/>
    <w:rsid w:val="00337DD2"/>
    <w:rsid w:val="00340FBA"/>
    <w:rsid w:val="003422B6"/>
    <w:rsid w:val="00342599"/>
    <w:rsid w:val="00343D84"/>
    <w:rsid w:val="00344C60"/>
    <w:rsid w:val="003450FF"/>
    <w:rsid w:val="003478FB"/>
    <w:rsid w:val="0035266D"/>
    <w:rsid w:val="00352B12"/>
    <w:rsid w:val="0035402E"/>
    <w:rsid w:val="003578B9"/>
    <w:rsid w:val="003603DB"/>
    <w:rsid w:val="00361D65"/>
    <w:rsid w:val="0036360D"/>
    <w:rsid w:val="00370409"/>
    <w:rsid w:val="00370534"/>
    <w:rsid w:val="00371265"/>
    <w:rsid w:val="00377C21"/>
    <w:rsid w:val="00381C8B"/>
    <w:rsid w:val="00381EA7"/>
    <w:rsid w:val="00383670"/>
    <w:rsid w:val="003842D1"/>
    <w:rsid w:val="003904BD"/>
    <w:rsid w:val="00390B5D"/>
    <w:rsid w:val="003922BF"/>
    <w:rsid w:val="00392CD1"/>
    <w:rsid w:val="00395713"/>
    <w:rsid w:val="003A221A"/>
    <w:rsid w:val="003A2C40"/>
    <w:rsid w:val="003A3253"/>
    <w:rsid w:val="003A65E2"/>
    <w:rsid w:val="003A73C1"/>
    <w:rsid w:val="003A7559"/>
    <w:rsid w:val="003B620C"/>
    <w:rsid w:val="003C100E"/>
    <w:rsid w:val="003C3238"/>
    <w:rsid w:val="003D012F"/>
    <w:rsid w:val="003D0F50"/>
    <w:rsid w:val="003D50DA"/>
    <w:rsid w:val="003E088B"/>
    <w:rsid w:val="003E2012"/>
    <w:rsid w:val="003F0E24"/>
    <w:rsid w:val="003F3833"/>
    <w:rsid w:val="003F3C21"/>
    <w:rsid w:val="003F4E8A"/>
    <w:rsid w:val="003F63C8"/>
    <w:rsid w:val="004012F8"/>
    <w:rsid w:val="004018B5"/>
    <w:rsid w:val="004019F2"/>
    <w:rsid w:val="0040219B"/>
    <w:rsid w:val="00402F2A"/>
    <w:rsid w:val="00404085"/>
    <w:rsid w:val="00405E4D"/>
    <w:rsid w:val="004062BF"/>
    <w:rsid w:val="00406618"/>
    <w:rsid w:val="00410DE1"/>
    <w:rsid w:val="00412630"/>
    <w:rsid w:val="004152B6"/>
    <w:rsid w:val="004156E3"/>
    <w:rsid w:val="00415C67"/>
    <w:rsid w:val="0041698A"/>
    <w:rsid w:val="00420627"/>
    <w:rsid w:val="00422230"/>
    <w:rsid w:val="00422BBF"/>
    <w:rsid w:val="00424DEA"/>
    <w:rsid w:val="00426AB2"/>
    <w:rsid w:val="004306E3"/>
    <w:rsid w:val="00431FF3"/>
    <w:rsid w:val="00436A89"/>
    <w:rsid w:val="00440DA3"/>
    <w:rsid w:val="004415A2"/>
    <w:rsid w:val="00444E8E"/>
    <w:rsid w:val="00446DB7"/>
    <w:rsid w:val="00447859"/>
    <w:rsid w:val="00452CC8"/>
    <w:rsid w:val="00453080"/>
    <w:rsid w:val="004532E1"/>
    <w:rsid w:val="00454298"/>
    <w:rsid w:val="00456521"/>
    <w:rsid w:val="00456622"/>
    <w:rsid w:val="0046235A"/>
    <w:rsid w:val="0047117A"/>
    <w:rsid w:val="004812AD"/>
    <w:rsid w:val="004817D7"/>
    <w:rsid w:val="004828E1"/>
    <w:rsid w:val="004854AB"/>
    <w:rsid w:val="004858F5"/>
    <w:rsid w:val="00487729"/>
    <w:rsid w:val="0048784F"/>
    <w:rsid w:val="00487AEB"/>
    <w:rsid w:val="004909A5"/>
    <w:rsid w:val="00491276"/>
    <w:rsid w:val="00491861"/>
    <w:rsid w:val="00493E69"/>
    <w:rsid w:val="004940FB"/>
    <w:rsid w:val="00497C49"/>
    <w:rsid w:val="004A4594"/>
    <w:rsid w:val="004B11DF"/>
    <w:rsid w:val="004B26F5"/>
    <w:rsid w:val="004B67FC"/>
    <w:rsid w:val="004B6814"/>
    <w:rsid w:val="004B6BA2"/>
    <w:rsid w:val="004C45CE"/>
    <w:rsid w:val="004C465D"/>
    <w:rsid w:val="004C4A00"/>
    <w:rsid w:val="004C6A32"/>
    <w:rsid w:val="004C732F"/>
    <w:rsid w:val="004D198B"/>
    <w:rsid w:val="004D45B5"/>
    <w:rsid w:val="004E06A7"/>
    <w:rsid w:val="004E1246"/>
    <w:rsid w:val="004E2188"/>
    <w:rsid w:val="004E6E5E"/>
    <w:rsid w:val="004F0B88"/>
    <w:rsid w:val="004F10E3"/>
    <w:rsid w:val="004F21A6"/>
    <w:rsid w:val="004F2D4B"/>
    <w:rsid w:val="004F37D0"/>
    <w:rsid w:val="004F4CA5"/>
    <w:rsid w:val="004F6BD8"/>
    <w:rsid w:val="004F7DD6"/>
    <w:rsid w:val="00500564"/>
    <w:rsid w:val="0050065A"/>
    <w:rsid w:val="00502B41"/>
    <w:rsid w:val="0050514F"/>
    <w:rsid w:val="0051016F"/>
    <w:rsid w:val="005110D1"/>
    <w:rsid w:val="00514714"/>
    <w:rsid w:val="005153B1"/>
    <w:rsid w:val="00517383"/>
    <w:rsid w:val="00521788"/>
    <w:rsid w:val="00522453"/>
    <w:rsid w:val="00524D2D"/>
    <w:rsid w:val="005258BC"/>
    <w:rsid w:val="00525AA6"/>
    <w:rsid w:val="005314B5"/>
    <w:rsid w:val="00535B90"/>
    <w:rsid w:val="005458A1"/>
    <w:rsid w:val="00547EFB"/>
    <w:rsid w:val="00557A4D"/>
    <w:rsid w:val="00561D64"/>
    <w:rsid w:val="005621EC"/>
    <w:rsid w:val="005631E8"/>
    <w:rsid w:val="005633FD"/>
    <w:rsid w:val="00563E79"/>
    <w:rsid w:val="005647D0"/>
    <w:rsid w:val="00567036"/>
    <w:rsid w:val="005672E3"/>
    <w:rsid w:val="0056792E"/>
    <w:rsid w:val="00572300"/>
    <w:rsid w:val="00572484"/>
    <w:rsid w:val="00573DBA"/>
    <w:rsid w:val="00575730"/>
    <w:rsid w:val="0057655C"/>
    <w:rsid w:val="00576957"/>
    <w:rsid w:val="00581047"/>
    <w:rsid w:val="00582337"/>
    <w:rsid w:val="00582B44"/>
    <w:rsid w:val="005911BB"/>
    <w:rsid w:val="00595AFC"/>
    <w:rsid w:val="00596E38"/>
    <w:rsid w:val="005971CF"/>
    <w:rsid w:val="005A0BC1"/>
    <w:rsid w:val="005A24CA"/>
    <w:rsid w:val="005A523E"/>
    <w:rsid w:val="005A5681"/>
    <w:rsid w:val="005A69DE"/>
    <w:rsid w:val="005B203E"/>
    <w:rsid w:val="005B59B6"/>
    <w:rsid w:val="005B6096"/>
    <w:rsid w:val="005B72A3"/>
    <w:rsid w:val="005C33EE"/>
    <w:rsid w:val="005C3570"/>
    <w:rsid w:val="005C3B4C"/>
    <w:rsid w:val="005C3E4E"/>
    <w:rsid w:val="005C731B"/>
    <w:rsid w:val="005D0585"/>
    <w:rsid w:val="005D1CBB"/>
    <w:rsid w:val="005D3ACA"/>
    <w:rsid w:val="005D49C4"/>
    <w:rsid w:val="005D601D"/>
    <w:rsid w:val="005D69D9"/>
    <w:rsid w:val="005E2BC9"/>
    <w:rsid w:val="005E45F2"/>
    <w:rsid w:val="005E5F46"/>
    <w:rsid w:val="005F0493"/>
    <w:rsid w:val="005F3F26"/>
    <w:rsid w:val="005F4FCE"/>
    <w:rsid w:val="005F7769"/>
    <w:rsid w:val="0060072B"/>
    <w:rsid w:val="00600776"/>
    <w:rsid w:val="006023D2"/>
    <w:rsid w:val="0060388A"/>
    <w:rsid w:val="00604431"/>
    <w:rsid w:val="0060794F"/>
    <w:rsid w:val="00614C68"/>
    <w:rsid w:val="00617633"/>
    <w:rsid w:val="00617AA5"/>
    <w:rsid w:val="0062038B"/>
    <w:rsid w:val="00622615"/>
    <w:rsid w:val="00623FDE"/>
    <w:rsid w:val="00625C62"/>
    <w:rsid w:val="00625C7A"/>
    <w:rsid w:val="00627F21"/>
    <w:rsid w:val="00632CCF"/>
    <w:rsid w:val="00633214"/>
    <w:rsid w:val="006346E0"/>
    <w:rsid w:val="006353F8"/>
    <w:rsid w:val="00637E1B"/>
    <w:rsid w:val="0064150D"/>
    <w:rsid w:val="00645395"/>
    <w:rsid w:val="00645694"/>
    <w:rsid w:val="00647770"/>
    <w:rsid w:val="00647888"/>
    <w:rsid w:val="00647D88"/>
    <w:rsid w:val="00650041"/>
    <w:rsid w:val="00650164"/>
    <w:rsid w:val="00650610"/>
    <w:rsid w:val="00650C39"/>
    <w:rsid w:val="00653B78"/>
    <w:rsid w:val="00656702"/>
    <w:rsid w:val="0066100D"/>
    <w:rsid w:val="006644DB"/>
    <w:rsid w:val="00666260"/>
    <w:rsid w:val="0066669F"/>
    <w:rsid w:val="00670925"/>
    <w:rsid w:val="00672E35"/>
    <w:rsid w:val="0067330F"/>
    <w:rsid w:val="0067390F"/>
    <w:rsid w:val="006829A0"/>
    <w:rsid w:val="006832A3"/>
    <w:rsid w:val="00685638"/>
    <w:rsid w:val="006877C5"/>
    <w:rsid w:val="006931E5"/>
    <w:rsid w:val="00694235"/>
    <w:rsid w:val="00697F13"/>
    <w:rsid w:val="006A7154"/>
    <w:rsid w:val="006B0C9D"/>
    <w:rsid w:val="006B2B26"/>
    <w:rsid w:val="006B2E0D"/>
    <w:rsid w:val="006B4356"/>
    <w:rsid w:val="006B442F"/>
    <w:rsid w:val="006B4C12"/>
    <w:rsid w:val="006B7975"/>
    <w:rsid w:val="006C055C"/>
    <w:rsid w:val="006C1FFD"/>
    <w:rsid w:val="006C4CFB"/>
    <w:rsid w:val="006C6BBD"/>
    <w:rsid w:val="006D08EE"/>
    <w:rsid w:val="006D0FCD"/>
    <w:rsid w:val="006D33AD"/>
    <w:rsid w:val="006D37E9"/>
    <w:rsid w:val="006D3EA1"/>
    <w:rsid w:val="006D6641"/>
    <w:rsid w:val="006E4E53"/>
    <w:rsid w:val="006E5568"/>
    <w:rsid w:val="006E6F9C"/>
    <w:rsid w:val="006F22AA"/>
    <w:rsid w:val="006F414E"/>
    <w:rsid w:val="006F544D"/>
    <w:rsid w:val="006F5515"/>
    <w:rsid w:val="00703C08"/>
    <w:rsid w:val="00705F77"/>
    <w:rsid w:val="00711DF0"/>
    <w:rsid w:val="00715724"/>
    <w:rsid w:val="00720B2D"/>
    <w:rsid w:val="00721795"/>
    <w:rsid w:val="007261D4"/>
    <w:rsid w:val="00734FEA"/>
    <w:rsid w:val="007353DB"/>
    <w:rsid w:val="00741358"/>
    <w:rsid w:val="00741434"/>
    <w:rsid w:val="00742106"/>
    <w:rsid w:val="007422DC"/>
    <w:rsid w:val="00743C94"/>
    <w:rsid w:val="00751175"/>
    <w:rsid w:val="00754DB2"/>
    <w:rsid w:val="00756EFD"/>
    <w:rsid w:val="00757011"/>
    <w:rsid w:val="00760A27"/>
    <w:rsid w:val="00762532"/>
    <w:rsid w:val="00762D86"/>
    <w:rsid w:val="00764DBA"/>
    <w:rsid w:val="00765BB1"/>
    <w:rsid w:val="0076640C"/>
    <w:rsid w:val="007677F9"/>
    <w:rsid w:val="00767FD6"/>
    <w:rsid w:val="0077090A"/>
    <w:rsid w:val="00771DD4"/>
    <w:rsid w:val="00772851"/>
    <w:rsid w:val="00774672"/>
    <w:rsid w:val="0077516F"/>
    <w:rsid w:val="007760AE"/>
    <w:rsid w:val="00782B61"/>
    <w:rsid w:val="0078365C"/>
    <w:rsid w:val="00783D64"/>
    <w:rsid w:val="00784187"/>
    <w:rsid w:val="00785137"/>
    <w:rsid w:val="0078520F"/>
    <w:rsid w:val="00791C61"/>
    <w:rsid w:val="007948B7"/>
    <w:rsid w:val="007960C7"/>
    <w:rsid w:val="007A37F2"/>
    <w:rsid w:val="007A4FC1"/>
    <w:rsid w:val="007B01E6"/>
    <w:rsid w:val="007B14D4"/>
    <w:rsid w:val="007B2ACB"/>
    <w:rsid w:val="007B2E2F"/>
    <w:rsid w:val="007B3E7B"/>
    <w:rsid w:val="007B3FC3"/>
    <w:rsid w:val="007B565D"/>
    <w:rsid w:val="007B6370"/>
    <w:rsid w:val="007B79EF"/>
    <w:rsid w:val="007C066A"/>
    <w:rsid w:val="007C1371"/>
    <w:rsid w:val="007C23E7"/>
    <w:rsid w:val="007D4E1D"/>
    <w:rsid w:val="007D57B0"/>
    <w:rsid w:val="007D6457"/>
    <w:rsid w:val="007D7039"/>
    <w:rsid w:val="007E32D3"/>
    <w:rsid w:val="007E4D38"/>
    <w:rsid w:val="007E512C"/>
    <w:rsid w:val="007E5EEA"/>
    <w:rsid w:val="007F0234"/>
    <w:rsid w:val="007F0A52"/>
    <w:rsid w:val="007F0BFC"/>
    <w:rsid w:val="007F2F08"/>
    <w:rsid w:val="007F37A8"/>
    <w:rsid w:val="007F4016"/>
    <w:rsid w:val="007F5249"/>
    <w:rsid w:val="0080286B"/>
    <w:rsid w:val="00803B96"/>
    <w:rsid w:val="00804A60"/>
    <w:rsid w:val="00804D88"/>
    <w:rsid w:val="008061CA"/>
    <w:rsid w:val="00814E5F"/>
    <w:rsid w:val="008158E0"/>
    <w:rsid w:val="008171D6"/>
    <w:rsid w:val="0082466B"/>
    <w:rsid w:val="00824971"/>
    <w:rsid w:val="008264C3"/>
    <w:rsid w:val="00827221"/>
    <w:rsid w:val="008272C0"/>
    <w:rsid w:val="00827F49"/>
    <w:rsid w:val="008305B6"/>
    <w:rsid w:val="008309F5"/>
    <w:rsid w:val="0083288B"/>
    <w:rsid w:val="00834DA8"/>
    <w:rsid w:val="00845EBD"/>
    <w:rsid w:val="0085245B"/>
    <w:rsid w:val="00852A7F"/>
    <w:rsid w:val="00853F0B"/>
    <w:rsid w:val="00856062"/>
    <w:rsid w:val="0086209F"/>
    <w:rsid w:val="00862AF6"/>
    <w:rsid w:val="0086420D"/>
    <w:rsid w:val="00864391"/>
    <w:rsid w:val="008660EC"/>
    <w:rsid w:val="00873A13"/>
    <w:rsid w:val="00880E4F"/>
    <w:rsid w:val="00883BAA"/>
    <w:rsid w:val="00884863"/>
    <w:rsid w:val="00890D23"/>
    <w:rsid w:val="008914D1"/>
    <w:rsid w:val="00896832"/>
    <w:rsid w:val="00897DA1"/>
    <w:rsid w:val="00897EC0"/>
    <w:rsid w:val="008A33CC"/>
    <w:rsid w:val="008A4BC3"/>
    <w:rsid w:val="008B05EB"/>
    <w:rsid w:val="008B2998"/>
    <w:rsid w:val="008B7D90"/>
    <w:rsid w:val="008C03C6"/>
    <w:rsid w:val="008C153F"/>
    <w:rsid w:val="008C1B7C"/>
    <w:rsid w:val="008C3E67"/>
    <w:rsid w:val="008C4CFC"/>
    <w:rsid w:val="008C74CB"/>
    <w:rsid w:val="008C7E8D"/>
    <w:rsid w:val="008D0322"/>
    <w:rsid w:val="008D044C"/>
    <w:rsid w:val="008D0C92"/>
    <w:rsid w:val="008D0D08"/>
    <w:rsid w:val="008D3230"/>
    <w:rsid w:val="008D3A19"/>
    <w:rsid w:val="008D3D92"/>
    <w:rsid w:val="008D5398"/>
    <w:rsid w:val="008D61F9"/>
    <w:rsid w:val="008E2E3B"/>
    <w:rsid w:val="008E4667"/>
    <w:rsid w:val="008E54D4"/>
    <w:rsid w:val="008E6226"/>
    <w:rsid w:val="008E6B67"/>
    <w:rsid w:val="008F0080"/>
    <w:rsid w:val="008F0140"/>
    <w:rsid w:val="008F1575"/>
    <w:rsid w:val="008F2AB3"/>
    <w:rsid w:val="008F2BBB"/>
    <w:rsid w:val="008F3DDF"/>
    <w:rsid w:val="008F51EE"/>
    <w:rsid w:val="008F5854"/>
    <w:rsid w:val="008F6E3E"/>
    <w:rsid w:val="008F74F0"/>
    <w:rsid w:val="009007C0"/>
    <w:rsid w:val="00902FED"/>
    <w:rsid w:val="00903685"/>
    <w:rsid w:val="009039DE"/>
    <w:rsid w:val="009044A1"/>
    <w:rsid w:val="00904C53"/>
    <w:rsid w:val="0090695E"/>
    <w:rsid w:val="0091111B"/>
    <w:rsid w:val="00912CC1"/>
    <w:rsid w:val="009158B8"/>
    <w:rsid w:val="00916346"/>
    <w:rsid w:val="0092143B"/>
    <w:rsid w:val="00922E54"/>
    <w:rsid w:val="0092526B"/>
    <w:rsid w:val="00930FE3"/>
    <w:rsid w:val="0093240B"/>
    <w:rsid w:val="00933967"/>
    <w:rsid w:val="00940B7A"/>
    <w:rsid w:val="00942371"/>
    <w:rsid w:val="00946973"/>
    <w:rsid w:val="00946B50"/>
    <w:rsid w:val="00947FEB"/>
    <w:rsid w:val="00950C1F"/>
    <w:rsid w:val="00953429"/>
    <w:rsid w:val="009554A2"/>
    <w:rsid w:val="0095569B"/>
    <w:rsid w:val="009558CC"/>
    <w:rsid w:val="00957831"/>
    <w:rsid w:val="00960E23"/>
    <w:rsid w:val="009612AA"/>
    <w:rsid w:val="00963501"/>
    <w:rsid w:val="00965373"/>
    <w:rsid w:val="00965622"/>
    <w:rsid w:val="00967647"/>
    <w:rsid w:val="00967A76"/>
    <w:rsid w:val="00970461"/>
    <w:rsid w:val="00971452"/>
    <w:rsid w:val="00973BCC"/>
    <w:rsid w:val="00974BB0"/>
    <w:rsid w:val="00974E45"/>
    <w:rsid w:val="00975F14"/>
    <w:rsid w:val="00975F83"/>
    <w:rsid w:val="009776BE"/>
    <w:rsid w:val="0098014D"/>
    <w:rsid w:val="0098156B"/>
    <w:rsid w:val="00982F9C"/>
    <w:rsid w:val="009846AD"/>
    <w:rsid w:val="00985128"/>
    <w:rsid w:val="009863A1"/>
    <w:rsid w:val="00987919"/>
    <w:rsid w:val="00990138"/>
    <w:rsid w:val="0099034E"/>
    <w:rsid w:val="00990480"/>
    <w:rsid w:val="00992307"/>
    <w:rsid w:val="009927EF"/>
    <w:rsid w:val="009953CA"/>
    <w:rsid w:val="009A11FA"/>
    <w:rsid w:val="009A1368"/>
    <w:rsid w:val="009A20BE"/>
    <w:rsid w:val="009A255E"/>
    <w:rsid w:val="009A7E84"/>
    <w:rsid w:val="009B2DED"/>
    <w:rsid w:val="009B31C7"/>
    <w:rsid w:val="009B4546"/>
    <w:rsid w:val="009B506D"/>
    <w:rsid w:val="009B63B8"/>
    <w:rsid w:val="009B716A"/>
    <w:rsid w:val="009B7219"/>
    <w:rsid w:val="009C1139"/>
    <w:rsid w:val="009C275C"/>
    <w:rsid w:val="009C2D8E"/>
    <w:rsid w:val="009D291B"/>
    <w:rsid w:val="009D2D14"/>
    <w:rsid w:val="009D2D70"/>
    <w:rsid w:val="009D5852"/>
    <w:rsid w:val="009D6AFD"/>
    <w:rsid w:val="009E1005"/>
    <w:rsid w:val="009E1629"/>
    <w:rsid w:val="009E165B"/>
    <w:rsid w:val="009E3CF0"/>
    <w:rsid w:val="009E6045"/>
    <w:rsid w:val="009F1799"/>
    <w:rsid w:val="009F1D44"/>
    <w:rsid w:val="009F3ACC"/>
    <w:rsid w:val="009F559B"/>
    <w:rsid w:val="009F72E8"/>
    <w:rsid w:val="00A01B49"/>
    <w:rsid w:val="00A01E52"/>
    <w:rsid w:val="00A02392"/>
    <w:rsid w:val="00A02877"/>
    <w:rsid w:val="00A03287"/>
    <w:rsid w:val="00A075C6"/>
    <w:rsid w:val="00A07601"/>
    <w:rsid w:val="00A12959"/>
    <w:rsid w:val="00A131D8"/>
    <w:rsid w:val="00A1332D"/>
    <w:rsid w:val="00A16832"/>
    <w:rsid w:val="00A21E4A"/>
    <w:rsid w:val="00A22916"/>
    <w:rsid w:val="00A26C6F"/>
    <w:rsid w:val="00A326DD"/>
    <w:rsid w:val="00A3273C"/>
    <w:rsid w:val="00A35EFA"/>
    <w:rsid w:val="00A40A2E"/>
    <w:rsid w:val="00A429FA"/>
    <w:rsid w:val="00A50198"/>
    <w:rsid w:val="00A5105A"/>
    <w:rsid w:val="00A5282D"/>
    <w:rsid w:val="00A52986"/>
    <w:rsid w:val="00A56A25"/>
    <w:rsid w:val="00A62E57"/>
    <w:rsid w:val="00A649E7"/>
    <w:rsid w:val="00A7011D"/>
    <w:rsid w:val="00A71DA3"/>
    <w:rsid w:val="00A74802"/>
    <w:rsid w:val="00A751BE"/>
    <w:rsid w:val="00A8762B"/>
    <w:rsid w:val="00A87662"/>
    <w:rsid w:val="00A909A8"/>
    <w:rsid w:val="00A91D92"/>
    <w:rsid w:val="00AA17E6"/>
    <w:rsid w:val="00AA345B"/>
    <w:rsid w:val="00AA6E69"/>
    <w:rsid w:val="00AA6F94"/>
    <w:rsid w:val="00AA75D2"/>
    <w:rsid w:val="00AB0AF2"/>
    <w:rsid w:val="00AB1539"/>
    <w:rsid w:val="00AB155D"/>
    <w:rsid w:val="00AB5072"/>
    <w:rsid w:val="00AB5B5D"/>
    <w:rsid w:val="00AB6113"/>
    <w:rsid w:val="00AC19E4"/>
    <w:rsid w:val="00AC4973"/>
    <w:rsid w:val="00AD5428"/>
    <w:rsid w:val="00AE0B83"/>
    <w:rsid w:val="00AE137C"/>
    <w:rsid w:val="00AE35EC"/>
    <w:rsid w:val="00AF245E"/>
    <w:rsid w:val="00AF4585"/>
    <w:rsid w:val="00B010EA"/>
    <w:rsid w:val="00B015D4"/>
    <w:rsid w:val="00B042CB"/>
    <w:rsid w:val="00B104DB"/>
    <w:rsid w:val="00B10B64"/>
    <w:rsid w:val="00B10D5F"/>
    <w:rsid w:val="00B13CB4"/>
    <w:rsid w:val="00B150EF"/>
    <w:rsid w:val="00B17F2E"/>
    <w:rsid w:val="00B26330"/>
    <w:rsid w:val="00B2699E"/>
    <w:rsid w:val="00B33E18"/>
    <w:rsid w:val="00B35231"/>
    <w:rsid w:val="00B357F0"/>
    <w:rsid w:val="00B36384"/>
    <w:rsid w:val="00B37317"/>
    <w:rsid w:val="00B45FFA"/>
    <w:rsid w:val="00B511C9"/>
    <w:rsid w:val="00B535D0"/>
    <w:rsid w:val="00B54F7D"/>
    <w:rsid w:val="00B561A5"/>
    <w:rsid w:val="00B63AC7"/>
    <w:rsid w:val="00B65BED"/>
    <w:rsid w:val="00B65D26"/>
    <w:rsid w:val="00B7169C"/>
    <w:rsid w:val="00B76C8B"/>
    <w:rsid w:val="00B7734E"/>
    <w:rsid w:val="00B81060"/>
    <w:rsid w:val="00B81911"/>
    <w:rsid w:val="00B8286C"/>
    <w:rsid w:val="00B83259"/>
    <w:rsid w:val="00B83B4A"/>
    <w:rsid w:val="00B90885"/>
    <w:rsid w:val="00B956BD"/>
    <w:rsid w:val="00B95881"/>
    <w:rsid w:val="00B95D72"/>
    <w:rsid w:val="00B966B9"/>
    <w:rsid w:val="00BA05A2"/>
    <w:rsid w:val="00BA3AB7"/>
    <w:rsid w:val="00BA6B88"/>
    <w:rsid w:val="00BA722A"/>
    <w:rsid w:val="00BA73EE"/>
    <w:rsid w:val="00BB27D9"/>
    <w:rsid w:val="00BB37F2"/>
    <w:rsid w:val="00BC013E"/>
    <w:rsid w:val="00BC14FE"/>
    <w:rsid w:val="00BC150E"/>
    <w:rsid w:val="00BC51DF"/>
    <w:rsid w:val="00BC7928"/>
    <w:rsid w:val="00BD0860"/>
    <w:rsid w:val="00BD2B9E"/>
    <w:rsid w:val="00BD47DF"/>
    <w:rsid w:val="00BD524B"/>
    <w:rsid w:val="00BD6784"/>
    <w:rsid w:val="00BD6921"/>
    <w:rsid w:val="00BD7F12"/>
    <w:rsid w:val="00BE1224"/>
    <w:rsid w:val="00BE2FD6"/>
    <w:rsid w:val="00BF0D26"/>
    <w:rsid w:val="00BF3308"/>
    <w:rsid w:val="00BF4BED"/>
    <w:rsid w:val="00BF55F9"/>
    <w:rsid w:val="00BF5880"/>
    <w:rsid w:val="00BF7B27"/>
    <w:rsid w:val="00BF7FF3"/>
    <w:rsid w:val="00C0047E"/>
    <w:rsid w:val="00C02735"/>
    <w:rsid w:val="00C04969"/>
    <w:rsid w:val="00C062C3"/>
    <w:rsid w:val="00C10A79"/>
    <w:rsid w:val="00C12E07"/>
    <w:rsid w:val="00C134D2"/>
    <w:rsid w:val="00C135B8"/>
    <w:rsid w:val="00C15F8F"/>
    <w:rsid w:val="00C1670F"/>
    <w:rsid w:val="00C170F0"/>
    <w:rsid w:val="00C21833"/>
    <w:rsid w:val="00C2356B"/>
    <w:rsid w:val="00C2394F"/>
    <w:rsid w:val="00C26BB5"/>
    <w:rsid w:val="00C31CC0"/>
    <w:rsid w:val="00C347D8"/>
    <w:rsid w:val="00C34CBE"/>
    <w:rsid w:val="00C360D3"/>
    <w:rsid w:val="00C402BB"/>
    <w:rsid w:val="00C404B8"/>
    <w:rsid w:val="00C40D57"/>
    <w:rsid w:val="00C40D81"/>
    <w:rsid w:val="00C4330D"/>
    <w:rsid w:val="00C44195"/>
    <w:rsid w:val="00C45E16"/>
    <w:rsid w:val="00C47117"/>
    <w:rsid w:val="00C51F27"/>
    <w:rsid w:val="00C51FBE"/>
    <w:rsid w:val="00C5219A"/>
    <w:rsid w:val="00C53029"/>
    <w:rsid w:val="00C565A9"/>
    <w:rsid w:val="00C56BA6"/>
    <w:rsid w:val="00C61386"/>
    <w:rsid w:val="00C61E34"/>
    <w:rsid w:val="00C62437"/>
    <w:rsid w:val="00C62648"/>
    <w:rsid w:val="00C643F7"/>
    <w:rsid w:val="00C650E9"/>
    <w:rsid w:val="00C66942"/>
    <w:rsid w:val="00C67F9A"/>
    <w:rsid w:val="00C7034F"/>
    <w:rsid w:val="00C73B9C"/>
    <w:rsid w:val="00C750B1"/>
    <w:rsid w:val="00C75B17"/>
    <w:rsid w:val="00C80D4F"/>
    <w:rsid w:val="00C8473E"/>
    <w:rsid w:val="00C875B2"/>
    <w:rsid w:val="00C87981"/>
    <w:rsid w:val="00C90729"/>
    <w:rsid w:val="00C92DB8"/>
    <w:rsid w:val="00C93E57"/>
    <w:rsid w:val="00C97FD2"/>
    <w:rsid w:val="00CA066E"/>
    <w:rsid w:val="00CA0F94"/>
    <w:rsid w:val="00CA1511"/>
    <w:rsid w:val="00CA3D88"/>
    <w:rsid w:val="00CB21A0"/>
    <w:rsid w:val="00CB4001"/>
    <w:rsid w:val="00CB4C0A"/>
    <w:rsid w:val="00CC0E18"/>
    <w:rsid w:val="00CD505A"/>
    <w:rsid w:val="00CD572F"/>
    <w:rsid w:val="00CD6258"/>
    <w:rsid w:val="00CD73CC"/>
    <w:rsid w:val="00CD7535"/>
    <w:rsid w:val="00CD790D"/>
    <w:rsid w:val="00CE74A2"/>
    <w:rsid w:val="00CF4646"/>
    <w:rsid w:val="00CF4F9C"/>
    <w:rsid w:val="00CF5D33"/>
    <w:rsid w:val="00CF61AB"/>
    <w:rsid w:val="00D000C2"/>
    <w:rsid w:val="00D021F4"/>
    <w:rsid w:val="00D04CBF"/>
    <w:rsid w:val="00D05027"/>
    <w:rsid w:val="00D05802"/>
    <w:rsid w:val="00D12568"/>
    <w:rsid w:val="00D13948"/>
    <w:rsid w:val="00D164DB"/>
    <w:rsid w:val="00D23418"/>
    <w:rsid w:val="00D262E7"/>
    <w:rsid w:val="00D357B2"/>
    <w:rsid w:val="00D37925"/>
    <w:rsid w:val="00D4196F"/>
    <w:rsid w:val="00D45651"/>
    <w:rsid w:val="00D458EA"/>
    <w:rsid w:val="00D45A1D"/>
    <w:rsid w:val="00D468BD"/>
    <w:rsid w:val="00D50D68"/>
    <w:rsid w:val="00D51779"/>
    <w:rsid w:val="00D527BB"/>
    <w:rsid w:val="00D533C3"/>
    <w:rsid w:val="00D539C0"/>
    <w:rsid w:val="00D54958"/>
    <w:rsid w:val="00D63F7C"/>
    <w:rsid w:val="00D640F7"/>
    <w:rsid w:val="00D64A8D"/>
    <w:rsid w:val="00D66D2A"/>
    <w:rsid w:val="00D67E15"/>
    <w:rsid w:val="00D71CC2"/>
    <w:rsid w:val="00D724BC"/>
    <w:rsid w:val="00D747F5"/>
    <w:rsid w:val="00D76601"/>
    <w:rsid w:val="00D81044"/>
    <w:rsid w:val="00D81D2A"/>
    <w:rsid w:val="00D91D48"/>
    <w:rsid w:val="00D94707"/>
    <w:rsid w:val="00D955FA"/>
    <w:rsid w:val="00D96D9C"/>
    <w:rsid w:val="00D975A7"/>
    <w:rsid w:val="00DA08D0"/>
    <w:rsid w:val="00DA14B1"/>
    <w:rsid w:val="00DA6F2E"/>
    <w:rsid w:val="00DB02B6"/>
    <w:rsid w:val="00DB15BD"/>
    <w:rsid w:val="00DB1B39"/>
    <w:rsid w:val="00DB77B1"/>
    <w:rsid w:val="00DC2661"/>
    <w:rsid w:val="00DC4AD9"/>
    <w:rsid w:val="00DD254A"/>
    <w:rsid w:val="00DD2912"/>
    <w:rsid w:val="00DD2D75"/>
    <w:rsid w:val="00DE2BB7"/>
    <w:rsid w:val="00DE367F"/>
    <w:rsid w:val="00DE3884"/>
    <w:rsid w:val="00DE5F20"/>
    <w:rsid w:val="00DE6508"/>
    <w:rsid w:val="00DE6994"/>
    <w:rsid w:val="00DE7145"/>
    <w:rsid w:val="00DE757F"/>
    <w:rsid w:val="00DF001E"/>
    <w:rsid w:val="00DF0E61"/>
    <w:rsid w:val="00DF26CA"/>
    <w:rsid w:val="00DF3A30"/>
    <w:rsid w:val="00E0030E"/>
    <w:rsid w:val="00E01D3E"/>
    <w:rsid w:val="00E15CB9"/>
    <w:rsid w:val="00E17D10"/>
    <w:rsid w:val="00E2121E"/>
    <w:rsid w:val="00E21456"/>
    <w:rsid w:val="00E217A9"/>
    <w:rsid w:val="00E22164"/>
    <w:rsid w:val="00E32BD6"/>
    <w:rsid w:val="00E378A2"/>
    <w:rsid w:val="00E41E8E"/>
    <w:rsid w:val="00E43587"/>
    <w:rsid w:val="00E44EFB"/>
    <w:rsid w:val="00E468A7"/>
    <w:rsid w:val="00E47E31"/>
    <w:rsid w:val="00E51615"/>
    <w:rsid w:val="00E53B40"/>
    <w:rsid w:val="00E55A8B"/>
    <w:rsid w:val="00E55CA8"/>
    <w:rsid w:val="00E564C3"/>
    <w:rsid w:val="00E56740"/>
    <w:rsid w:val="00E572E1"/>
    <w:rsid w:val="00E577E1"/>
    <w:rsid w:val="00E6048E"/>
    <w:rsid w:val="00E607B8"/>
    <w:rsid w:val="00E60D96"/>
    <w:rsid w:val="00E611D6"/>
    <w:rsid w:val="00E61610"/>
    <w:rsid w:val="00E640BE"/>
    <w:rsid w:val="00E64644"/>
    <w:rsid w:val="00E67F83"/>
    <w:rsid w:val="00E71B5F"/>
    <w:rsid w:val="00E86101"/>
    <w:rsid w:val="00E86978"/>
    <w:rsid w:val="00E92392"/>
    <w:rsid w:val="00E9267D"/>
    <w:rsid w:val="00E92AF7"/>
    <w:rsid w:val="00E93FEA"/>
    <w:rsid w:val="00EA05BE"/>
    <w:rsid w:val="00EA0B32"/>
    <w:rsid w:val="00EA0CFC"/>
    <w:rsid w:val="00EA1316"/>
    <w:rsid w:val="00EA38F0"/>
    <w:rsid w:val="00EB73C6"/>
    <w:rsid w:val="00EB7EC1"/>
    <w:rsid w:val="00EC363D"/>
    <w:rsid w:val="00EC7CD7"/>
    <w:rsid w:val="00ED1423"/>
    <w:rsid w:val="00ED1719"/>
    <w:rsid w:val="00ED1A34"/>
    <w:rsid w:val="00ED40C6"/>
    <w:rsid w:val="00ED4F59"/>
    <w:rsid w:val="00ED53E9"/>
    <w:rsid w:val="00EE0055"/>
    <w:rsid w:val="00EE0633"/>
    <w:rsid w:val="00EE1D04"/>
    <w:rsid w:val="00EE4120"/>
    <w:rsid w:val="00EE4E14"/>
    <w:rsid w:val="00EE5696"/>
    <w:rsid w:val="00EE5ADF"/>
    <w:rsid w:val="00EF0C93"/>
    <w:rsid w:val="00EF4F46"/>
    <w:rsid w:val="00EF69F7"/>
    <w:rsid w:val="00EF7C65"/>
    <w:rsid w:val="00F02F9A"/>
    <w:rsid w:val="00F030AE"/>
    <w:rsid w:val="00F074C7"/>
    <w:rsid w:val="00F115DE"/>
    <w:rsid w:val="00F13018"/>
    <w:rsid w:val="00F142FF"/>
    <w:rsid w:val="00F153EA"/>
    <w:rsid w:val="00F17198"/>
    <w:rsid w:val="00F2371B"/>
    <w:rsid w:val="00F23E9D"/>
    <w:rsid w:val="00F241B3"/>
    <w:rsid w:val="00F2560F"/>
    <w:rsid w:val="00F25F4A"/>
    <w:rsid w:val="00F2625E"/>
    <w:rsid w:val="00F279E2"/>
    <w:rsid w:val="00F325C5"/>
    <w:rsid w:val="00F34906"/>
    <w:rsid w:val="00F366A7"/>
    <w:rsid w:val="00F40733"/>
    <w:rsid w:val="00F40A65"/>
    <w:rsid w:val="00F47647"/>
    <w:rsid w:val="00F518A8"/>
    <w:rsid w:val="00F52F9C"/>
    <w:rsid w:val="00F53F1C"/>
    <w:rsid w:val="00F545ED"/>
    <w:rsid w:val="00F60C5A"/>
    <w:rsid w:val="00F625ED"/>
    <w:rsid w:val="00F66E8C"/>
    <w:rsid w:val="00F711E8"/>
    <w:rsid w:val="00F73596"/>
    <w:rsid w:val="00F73B9A"/>
    <w:rsid w:val="00F73DFB"/>
    <w:rsid w:val="00F76300"/>
    <w:rsid w:val="00F91D5C"/>
    <w:rsid w:val="00F9627A"/>
    <w:rsid w:val="00FA1A3B"/>
    <w:rsid w:val="00FA26AB"/>
    <w:rsid w:val="00FA27E2"/>
    <w:rsid w:val="00FA2B1B"/>
    <w:rsid w:val="00FB0DC7"/>
    <w:rsid w:val="00FB46D8"/>
    <w:rsid w:val="00FB6083"/>
    <w:rsid w:val="00FC5BF7"/>
    <w:rsid w:val="00FC6C43"/>
    <w:rsid w:val="00FD18A9"/>
    <w:rsid w:val="00FD5931"/>
    <w:rsid w:val="00FE235F"/>
    <w:rsid w:val="00FE35E5"/>
    <w:rsid w:val="00FE3A2C"/>
    <w:rsid w:val="00FE4C55"/>
    <w:rsid w:val="00FE5264"/>
    <w:rsid w:val="00FE59EF"/>
    <w:rsid w:val="00FE6BF9"/>
    <w:rsid w:val="00FF1C5C"/>
    <w:rsid w:val="00FF2B3A"/>
    <w:rsid w:val="00FF543E"/>
    <w:rsid w:val="00FF6797"/>
    <w:rsid w:val="00FF7373"/>
    <w:rsid w:val="00FF7828"/>
    <w:rsid w:val="013C21C8"/>
    <w:rsid w:val="019D5CAF"/>
    <w:rsid w:val="022C44A4"/>
    <w:rsid w:val="050A3111"/>
    <w:rsid w:val="0532D2F0"/>
    <w:rsid w:val="053ED73C"/>
    <w:rsid w:val="06B8B745"/>
    <w:rsid w:val="08270DC1"/>
    <w:rsid w:val="0B680B48"/>
    <w:rsid w:val="0D072F4D"/>
    <w:rsid w:val="0E2636F3"/>
    <w:rsid w:val="117278E6"/>
    <w:rsid w:val="11883953"/>
    <w:rsid w:val="12A47F3B"/>
    <w:rsid w:val="171C2CC8"/>
    <w:rsid w:val="182F1BF3"/>
    <w:rsid w:val="1A510317"/>
    <w:rsid w:val="1D78E42C"/>
    <w:rsid w:val="1DA8EE80"/>
    <w:rsid w:val="1E118035"/>
    <w:rsid w:val="1ECC94F1"/>
    <w:rsid w:val="1F14B48D"/>
    <w:rsid w:val="21ED9D0C"/>
    <w:rsid w:val="224C554F"/>
    <w:rsid w:val="2270FF25"/>
    <w:rsid w:val="23E825B0"/>
    <w:rsid w:val="26A64A1D"/>
    <w:rsid w:val="278D441E"/>
    <w:rsid w:val="28E002A9"/>
    <w:rsid w:val="298EC4F1"/>
    <w:rsid w:val="29E17BD5"/>
    <w:rsid w:val="2AD8EB24"/>
    <w:rsid w:val="2D6F910A"/>
    <w:rsid w:val="2E1A625F"/>
    <w:rsid w:val="315BB368"/>
    <w:rsid w:val="31B9014E"/>
    <w:rsid w:val="3309E3FE"/>
    <w:rsid w:val="36D80BD7"/>
    <w:rsid w:val="3914A1D0"/>
    <w:rsid w:val="3958B1A4"/>
    <w:rsid w:val="3BCAD76D"/>
    <w:rsid w:val="40B58EFD"/>
    <w:rsid w:val="40F69475"/>
    <w:rsid w:val="42D9BB24"/>
    <w:rsid w:val="432D2746"/>
    <w:rsid w:val="43560A3A"/>
    <w:rsid w:val="440B1CE2"/>
    <w:rsid w:val="46C587CC"/>
    <w:rsid w:val="4980BEFD"/>
    <w:rsid w:val="4A73BAD2"/>
    <w:rsid w:val="4AF17D72"/>
    <w:rsid w:val="4D2E2B14"/>
    <w:rsid w:val="5054BC94"/>
    <w:rsid w:val="506D6AC0"/>
    <w:rsid w:val="5368C280"/>
    <w:rsid w:val="5397DD1F"/>
    <w:rsid w:val="558C22AB"/>
    <w:rsid w:val="5679BE80"/>
    <w:rsid w:val="56CD9249"/>
    <w:rsid w:val="56CE3F4B"/>
    <w:rsid w:val="57CFFBA4"/>
    <w:rsid w:val="589C8478"/>
    <w:rsid w:val="58E46BDD"/>
    <w:rsid w:val="59E1AD7F"/>
    <w:rsid w:val="5A438497"/>
    <w:rsid w:val="616216CE"/>
    <w:rsid w:val="627A7FC4"/>
    <w:rsid w:val="62C91EE2"/>
    <w:rsid w:val="635E4A67"/>
    <w:rsid w:val="6361DED1"/>
    <w:rsid w:val="69CF7092"/>
    <w:rsid w:val="6D071154"/>
    <w:rsid w:val="6D4A4144"/>
    <w:rsid w:val="6DABFB79"/>
    <w:rsid w:val="7072F7BD"/>
    <w:rsid w:val="70D3BE45"/>
    <w:rsid w:val="7262DE3D"/>
    <w:rsid w:val="7317958F"/>
    <w:rsid w:val="73258814"/>
    <w:rsid w:val="744C056F"/>
    <w:rsid w:val="7742FFC9"/>
    <w:rsid w:val="78F4D159"/>
    <w:rsid w:val="7A90A1BA"/>
    <w:rsid w:val="7B77661C"/>
    <w:rsid w:val="7C2C721B"/>
    <w:rsid w:val="7EE77DBB"/>
    <w:rsid w:val="7F2838E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DE1CF"/>
  <w15:docId w15:val="{90D229BE-A941-4D8D-B5E9-C8717723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286B"/>
    <w:pPr>
      <w:spacing w:after="0" w:line="280" w:lineRule="atLeast"/>
    </w:pPr>
    <w:rPr>
      <w:sz w:val="20"/>
    </w:rPr>
  </w:style>
  <w:style w:type="paragraph" w:styleId="Titre1">
    <w:name w:val="heading 1"/>
    <w:basedOn w:val="Normal"/>
    <w:next w:val="Normal"/>
    <w:link w:val="Titre1Car"/>
    <w:uiPriority w:val="9"/>
    <w:rsid w:val="00C92DB8"/>
    <w:pPr>
      <w:keepNext/>
      <w:keepLines/>
      <w:numPr>
        <w:numId w:val="13"/>
      </w:numPr>
      <w:spacing w:after="240" w:line="336" w:lineRule="atLeast"/>
      <w:ind w:left="397" w:hanging="397"/>
      <w:outlineLvl w:val="0"/>
    </w:pPr>
    <w:rPr>
      <w:rFonts w:asciiTheme="majorHAnsi" w:eastAsiaTheme="majorEastAsia" w:hAnsiTheme="majorHAnsi" w:cstheme="majorBidi"/>
      <w:b/>
      <w:bCs/>
      <w:color w:val="FFFFFF" w:themeColor="background2"/>
      <w:sz w:val="28"/>
      <w:szCs w:val="28"/>
    </w:rPr>
  </w:style>
  <w:style w:type="paragraph" w:styleId="Titre2">
    <w:name w:val="heading 2"/>
    <w:basedOn w:val="Normal"/>
    <w:next w:val="Normal"/>
    <w:link w:val="Titre2Car"/>
    <w:uiPriority w:val="9"/>
    <w:rsid w:val="00C92DB8"/>
    <w:pPr>
      <w:keepNext/>
      <w:keepLines/>
      <w:spacing w:after="1180" w:line="336" w:lineRule="atLeast"/>
      <w:outlineLvl w:val="1"/>
    </w:pPr>
    <w:rPr>
      <w:rFonts w:asciiTheme="majorHAnsi" w:eastAsiaTheme="majorEastAsia" w:hAnsiTheme="majorHAnsi" w:cstheme="majorBidi"/>
      <w:bCs/>
      <w:color w:val="4F9E30" w:themeColor="text2"/>
      <w:sz w:val="28"/>
      <w:szCs w:val="26"/>
    </w:rPr>
  </w:style>
  <w:style w:type="paragraph" w:styleId="Titre3">
    <w:name w:val="heading 3"/>
    <w:basedOn w:val="Normal"/>
    <w:next w:val="Normal"/>
    <w:link w:val="Titre3Car"/>
    <w:uiPriority w:val="9"/>
    <w:unhideWhenUsed/>
    <w:rsid w:val="006644DB"/>
    <w:pPr>
      <w:keepNext/>
      <w:keepLines/>
      <w:spacing w:before="40"/>
      <w:outlineLvl w:val="2"/>
    </w:pPr>
    <w:rPr>
      <w:rFonts w:asciiTheme="majorHAnsi" w:eastAsiaTheme="majorEastAsia" w:hAnsiTheme="majorHAnsi" w:cstheme="majorBidi"/>
      <w:color w:val="000C37"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rsid w:val="00B95D72"/>
    <w:pPr>
      <w:pBdr>
        <w:bottom w:val="single" w:sz="8" w:space="4" w:color="001A70" w:themeColor="accent1"/>
      </w:pBdr>
      <w:spacing w:after="300" w:line="240" w:lineRule="auto"/>
      <w:contextualSpacing/>
    </w:pPr>
    <w:rPr>
      <w:rFonts w:asciiTheme="majorHAnsi" w:eastAsiaTheme="majorEastAsia" w:hAnsiTheme="majorHAnsi" w:cstheme="majorBidi"/>
      <w:color w:val="3A7624" w:themeColor="text2" w:themeShade="BF"/>
      <w:spacing w:val="5"/>
      <w:kern w:val="28"/>
      <w:sz w:val="52"/>
      <w:szCs w:val="52"/>
    </w:rPr>
  </w:style>
  <w:style w:type="character" w:customStyle="1" w:styleId="TitreCar">
    <w:name w:val="Titre Car"/>
    <w:basedOn w:val="Policepardfaut"/>
    <w:link w:val="Titre"/>
    <w:uiPriority w:val="10"/>
    <w:rsid w:val="00B95D72"/>
    <w:rPr>
      <w:rFonts w:asciiTheme="majorHAnsi" w:eastAsiaTheme="majorEastAsia" w:hAnsiTheme="majorHAnsi" w:cstheme="majorBidi"/>
      <w:color w:val="3A7624" w:themeColor="text2" w:themeShade="BF"/>
      <w:spacing w:val="5"/>
      <w:kern w:val="28"/>
      <w:sz w:val="52"/>
      <w:szCs w:val="52"/>
    </w:rPr>
  </w:style>
  <w:style w:type="paragraph" w:styleId="En-tte">
    <w:name w:val="header"/>
    <w:link w:val="En-tteCar"/>
    <w:uiPriority w:val="99"/>
    <w:rsid w:val="00D67E15"/>
    <w:pPr>
      <w:spacing w:after="0" w:line="240" w:lineRule="exact"/>
    </w:pPr>
    <w:rPr>
      <w:sz w:val="24"/>
    </w:rPr>
  </w:style>
  <w:style w:type="character" w:customStyle="1" w:styleId="En-tteCar">
    <w:name w:val="En-tête Car"/>
    <w:basedOn w:val="Policepardfaut"/>
    <w:link w:val="En-tte"/>
    <w:uiPriority w:val="99"/>
    <w:rsid w:val="00D67E15"/>
    <w:rPr>
      <w:sz w:val="24"/>
    </w:rPr>
  </w:style>
  <w:style w:type="paragraph" w:styleId="Pieddepage">
    <w:name w:val="footer"/>
    <w:link w:val="PieddepageCar"/>
    <w:uiPriority w:val="99"/>
    <w:rsid w:val="00D67E15"/>
    <w:pPr>
      <w:spacing w:after="0" w:line="240" w:lineRule="exact"/>
    </w:pPr>
    <w:rPr>
      <w:sz w:val="24"/>
    </w:rPr>
  </w:style>
  <w:style w:type="character" w:customStyle="1" w:styleId="PieddepageCar">
    <w:name w:val="Pied de page Car"/>
    <w:basedOn w:val="Policepardfaut"/>
    <w:link w:val="Pieddepage"/>
    <w:uiPriority w:val="99"/>
    <w:rsid w:val="00D67E15"/>
    <w:rPr>
      <w:sz w:val="24"/>
    </w:rPr>
  </w:style>
  <w:style w:type="paragraph" w:styleId="Textedebulles">
    <w:name w:val="Balloon Text"/>
    <w:basedOn w:val="Normal"/>
    <w:link w:val="TextedebullesCar"/>
    <w:uiPriority w:val="99"/>
    <w:semiHidden/>
    <w:unhideWhenUsed/>
    <w:rsid w:val="00D67E1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7E15"/>
    <w:rPr>
      <w:rFonts w:ascii="Tahoma" w:hAnsi="Tahoma" w:cs="Tahoma"/>
      <w:sz w:val="16"/>
      <w:szCs w:val="16"/>
    </w:rPr>
  </w:style>
  <w:style w:type="table" w:styleId="Grilledutableau">
    <w:name w:val="Table Grid"/>
    <w:aliases w:val="Table RSA"/>
    <w:basedOn w:val="TableauNormal"/>
    <w:uiPriority w:val="39"/>
    <w:rsid w:val="00743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C92DB8"/>
    <w:rPr>
      <w:rFonts w:asciiTheme="majorHAnsi" w:eastAsiaTheme="majorEastAsia" w:hAnsiTheme="majorHAnsi" w:cstheme="majorBidi"/>
      <w:b/>
      <w:bCs/>
      <w:color w:val="FFFFFF" w:themeColor="background2"/>
      <w:sz w:val="28"/>
      <w:szCs w:val="28"/>
    </w:rPr>
  </w:style>
  <w:style w:type="paragraph" w:customStyle="1" w:styleId="Textecourant">
    <w:name w:val="Texte courant"/>
    <w:basedOn w:val="Normal"/>
    <w:link w:val="TextecourantCar"/>
    <w:qFormat/>
    <w:rsid w:val="00B7734E"/>
    <w:pPr>
      <w:jc w:val="both"/>
    </w:pPr>
    <w:rPr>
      <w:color w:val="001A70" w:themeColor="accent1"/>
    </w:rPr>
  </w:style>
  <w:style w:type="paragraph" w:customStyle="1" w:styleId="soussoustitre">
    <w:name w:val="sous sous titre"/>
    <w:basedOn w:val="Titreblocimage"/>
    <w:qFormat/>
    <w:rsid w:val="0091111B"/>
    <w:pPr>
      <w:outlineLvl w:val="2"/>
    </w:pPr>
    <w:rPr>
      <w:sz w:val="24"/>
      <w:szCs w:val="24"/>
    </w:rPr>
  </w:style>
  <w:style w:type="paragraph" w:customStyle="1" w:styleId="Tableautitre">
    <w:name w:val="Tableau titre"/>
    <w:basedOn w:val="Textecourant"/>
    <w:rsid w:val="00DE367F"/>
    <w:pPr>
      <w:spacing w:line="192" w:lineRule="exact"/>
      <w:jc w:val="center"/>
    </w:pPr>
    <w:rPr>
      <w:b/>
      <w:color w:val="FFFFFF" w:themeColor="background2"/>
      <w:sz w:val="16"/>
    </w:rPr>
  </w:style>
  <w:style w:type="paragraph" w:customStyle="1" w:styleId="Tableautextebleu">
    <w:name w:val="Tableau texte bleu"/>
    <w:basedOn w:val="Tableautexte"/>
    <w:rsid w:val="00047C03"/>
    <w:pPr>
      <w:spacing w:before="160" w:line="120" w:lineRule="exact"/>
    </w:pPr>
    <w:rPr>
      <w:color w:val="4F9E30" w:themeColor="text2"/>
      <w:sz w:val="10"/>
    </w:rPr>
  </w:style>
  <w:style w:type="paragraph" w:customStyle="1" w:styleId="Tableautexte">
    <w:name w:val="Tableau texte"/>
    <w:basedOn w:val="Textecourant"/>
    <w:rsid w:val="00047C03"/>
    <w:pPr>
      <w:spacing w:before="240" w:after="240" w:line="264" w:lineRule="exact"/>
      <w:jc w:val="center"/>
    </w:pPr>
    <w:rPr>
      <w:sz w:val="22"/>
    </w:rPr>
  </w:style>
  <w:style w:type="paragraph" w:customStyle="1" w:styleId="Textecourantgrasbleuclair">
    <w:name w:val="Texte courant gras bleu clair"/>
    <w:basedOn w:val="Textecourant"/>
    <w:link w:val="TextecourantgrasbleuclairCar"/>
    <w:rsid w:val="00B37317"/>
    <w:rPr>
      <w:b/>
      <w:color w:val="4F9E30" w:themeColor="text2"/>
    </w:rPr>
  </w:style>
  <w:style w:type="character" w:customStyle="1" w:styleId="TextecourantCar">
    <w:name w:val="Texte courant Car"/>
    <w:basedOn w:val="Policepardfaut"/>
    <w:link w:val="Textecourant"/>
    <w:rsid w:val="00B7734E"/>
    <w:rPr>
      <w:color w:val="001A70" w:themeColor="accent1"/>
      <w:sz w:val="20"/>
    </w:rPr>
  </w:style>
  <w:style w:type="character" w:customStyle="1" w:styleId="TextecourantgrasbleuclairCar">
    <w:name w:val="Texte courant gras bleu clair Car"/>
    <w:basedOn w:val="TextecourantCar"/>
    <w:link w:val="Textecourantgrasbleuclair"/>
    <w:rsid w:val="002578BE"/>
    <w:rPr>
      <w:b/>
      <w:color w:val="4F9E30" w:themeColor="text2"/>
      <w:sz w:val="20"/>
    </w:rPr>
  </w:style>
  <w:style w:type="paragraph" w:customStyle="1" w:styleId="Textecourantgrasbleufonc">
    <w:name w:val="Texte courant gras bleu foncé"/>
    <w:basedOn w:val="Textecourant"/>
    <w:link w:val="TextecourantgrasbleufoncCar"/>
    <w:rsid w:val="002578BE"/>
    <w:rPr>
      <w:b/>
      <w:color w:val="FFFFFF" w:themeColor="background2"/>
    </w:rPr>
  </w:style>
  <w:style w:type="paragraph" w:customStyle="1" w:styleId="Titrebloc">
    <w:name w:val="Titre bloc"/>
    <w:basedOn w:val="Textebloc"/>
    <w:rsid w:val="002578BE"/>
    <w:rPr>
      <w:b/>
      <w:color w:val="88D910" w:themeColor="accent4"/>
    </w:rPr>
  </w:style>
  <w:style w:type="character" w:customStyle="1" w:styleId="TextecourantgrasbleufoncCar">
    <w:name w:val="Texte courant gras bleu foncé Car"/>
    <w:basedOn w:val="TextecourantCar"/>
    <w:link w:val="Textecourantgrasbleufonc"/>
    <w:rsid w:val="002578BE"/>
    <w:rPr>
      <w:b/>
      <w:color w:val="FFFFFF" w:themeColor="background2"/>
      <w:sz w:val="20"/>
    </w:rPr>
  </w:style>
  <w:style w:type="paragraph" w:customStyle="1" w:styleId="Textebloc">
    <w:name w:val="Texte bloc"/>
    <w:basedOn w:val="Normal"/>
    <w:rsid w:val="002578BE"/>
    <w:pPr>
      <w:jc w:val="both"/>
    </w:pPr>
  </w:style>
  <w:style w:type="paragraph" w:customStyle="1" w:styleId="Communiqudepresse">
    <w:name w:val="Communiqué de presse"/>
    <w:basedOn w:val="Normal"/>
    <w:rsid w:val="006353F8"/>
    <w:pPr>
      <w:spacing w:before="60" w:line="288" w:lineRule="exact"/>
      <w:jc w:val="right"/>
    </w:pPr>
    <w:rPr>
      <w:b/>
      <w:color w:val="FFFFFF" w:themeColor="background2"/>
      <w:sz w:val="24"/>
    </w:rPr>
  </w:style>
  <w:style w:type="paragraph" w:styleId="Date">
    <w:name w:val="Date"/>
    <w:basedOn w:val="Normal"/>
    <w:next w:val="Normal"/>
    <w:link w:val="DateCar"/>
    <w:uiPriority w:val="99"/>
    <w:rsid w:val="006D37E9"/>
    <w:pPr>
      <w:spacing w:line="192" w:lineRule="exact"/>
      <w:jc w:val="right"/>
    </w:pPr>
    <w:rPr>
      <w:sz w:val="16"/>
    </w:rPr>
  </w:style>
  <w:style w:type="character" w:customStyle="1" w:styleId="DateCar">
    <w:name w:val="Date Car"/>
    <w:basedOn w:val="Policepardfaut"/>
    <w:link w:val="Date"/>
    <w:uiPriority w:val="99"/>
    <w:rsid w:val="006D37E9"/>
    <w:rPr>
      <w:sz w:val="16"/>
    </w:rPr>
  </w:style>
  <w:style w:type="paragraph" w:customStyle="1" w:styleId="Communiqudepresseautomatique">
    <w:name w:val="Communiqué de presse automatique"/>
    <w:basedOn w:val="Normal"/>
    <w:rsid w:val="000E74DF"/>
    <w:pPr>
      <w:framePr w:w="10206" w:h="1418" w:wrap="notBeside" w:vAnchor="page" w:hAnchor="page" w:x="852" w:y="852"/>
      <w:spacing w:line="288" w:lineRule="exact"/>
      <w:jc w:val="right"/>
    </w:pPr>
    <w:rPr>
      <w:b/>
      <w:color w:val="FFFFFF" w:themeColor="background2"/>
      <w:sz w:val="24"/>
    </w:rPr>
  </w:style>
  <w:style w:type="paragraph" w:customStyle="1" w:styleId="Dateautomatique">
    <w:name w:val="Date automatique"/>
    <w:basedOn w:val="Communiqudepresseautomatique"/>
    <w:rsid w:val="00ED1A34"/>
    <w:pPr>
      <w:framePr w:wrap="notBeside"/>
      <w:spacing w:line="192" w:lineRule="exact"/>
    </w:pPr>
    <w:rPr>
      <w:b w:val="0"/>
      <w:color w:val="auto"/>
      <w:sz w:val="16"/>
    </w:rPr>
  </w:style>
  <w:style w:type="character" w:customStyle="1" w:styleId="Titre2Car">
    <w:name w:val="Titre 2 Car"/>
    <w:basedOn w:val="Policepardfaut"/>
    <w:link w:val="Titre2"/>
    <w:uiPriority w:val="9"/>
    <w:rsid w:val="00C92DB8"/>
    <w:rPr>
      <w:rFonts w:asciiTheme="majorHAnsi" w:eastAsiaTheme="majorEastAsia" w:hAnsiTheme="majorHAnsi" w:cstheme="majorBidi"/>
      <w:bCs/>
      <w:color w:val="4F9E30" w:themeColor="text2"/>
      <w:sz w:val="28"/>
      <w:szCs w:val="26"/>
    </w:rPr>
  </w:style>
  <w:style w:type="paragraph" w:customStyle="1" w:styleId="Textevisuel">
    <w:name w:val="Texte visuel"/>
    <w:basedOn w:val="Textecourant"/>
    <w:rsid w:val="000F7E48"/>
    <w:pPr>
      <w:pBdr>
        <w:top w:val="single" w:sz="48" w:space="8" w:color="88D910" w:themeColor="accent4"/>
        <w:left w:val="single" w:sz="48" w:space="5" w:color="88D910" w:themeColor="accent4"/>
        <w:bottom w:val="single" w:sz="48" w:space="8" w:color="88D910" w:themeColor="accent4"/>
        <w:right w:val="single" w:sz="48" w:space="8" w:color="88D910" w:themeColor="accent4"/>
      </w:pBdr>
      <w:shd w:val="clear" w:color="auto" w:fill="88D910" w:themeFill="accent4"/>
      <w:spacing w:line="220" w:lineRule="exact"/>
      <w:ind w:left="284" w:right="284"/>
    </w:pPr>
    <w:rPr>
      <w:color w:val="FFFFFF" w:themeColor="background1"/>
      <w:sz w:val="16"/>
    </w:rPr>
  </w:style>
  <w:style w:type="paragraph" w:customStyle="1" w:styleId="Titrepieddepage">
    <w:name w:val="Titre pied de page"/>
    <w:basedOn w:val="Normal"/>
    <w:rsid w:val="00827F49"/>
    <w:pPr>
      <w:framePr w:w="10206" w:h="1673" w:wrap="notBeside" w:vAnchor="page" w:hAnchor="page" w:x="852" w:y="14318" w:anchorLock="1"/>
      <w:spacing w:line="160" w:lineRule="exact"/>
    </w:pPr>
    <w:rPr>
      <w:b/>
      <w:sz w:val="12"/>
    </w:rPr>
  </w:style>
  <w:style w:type="paragraph" w:customStyle="1" w:styleId="Textepieddepage">
    <w:name w:val="Texte pied de page"/>
    <w:basedOn w:val="Titrepieddepage"/>
    <w:qFormat/>
    <w:rsid w:val="00242A96"/>
    <w:pPr>
      <w:framePr w:wrap="notBeside"/>
      <w:spacing w:line="130" w:lineRule="exact"/>
    </w:pPr>
    <w:rPr>
      <w:b w:val="0"/>
      <w:color w:val="7F7F7F" w:themeColor="text1" w:themeTint="80"/>
      <w:sz w:val="16"/>
    </w:rPr>
  </w:style>
  <w:style w:type="paragraph" w:customStyle="1" w:styleId="Titrecontacts">
    <w:name w:val="Titre contacts"/>
    <w:basedOn w:val="Normal"/>
    <w:rsid w:val="00C92DB8"/>
    <w:pPr>
      <w:framePr w:w="10206" w:h="1673" w:wrap="notBeside" w:vAnchor="page" w:hAnchor="page" w:x="852" w:y="14318" w:anchorLock="1"/>
      <w:spacing w:line="160" w:lineRule="exact"/>
      <w:ind w:left="142" w:right="142"/>
    </w:pPr>
    <w:rPr>
      <w:b/>
      <w:color w:val="FFFFFF" w:themeColor="background1"/>
      <w:sz w:val="12"/>
    </w:rPr>
  </w:style>
  <w:style w:type="paragraph" w:customStyle="1" w:styleId="Textecontacts">
    <w:name w:val="Texte contacts"/>
    <w:basedOn w:val="Titrecontacts"/>
    <w:rsid w:val="00C92DB8"/>
    <w:pPr>
      <w:framePr w:wrap="notBeside"/>
      <w:spacing w:line="130" w:lineRule="exact"/>
    </w:pPr>
    <w:rPr>
      <w:b w:val="0"/>
      <w:sz w:val="10"/>
    </w:rPr>
  </w:style>
  <w:style w:type="paragraph" w:customStyle="1" w:styleId="Interligne">
    <w:name w:val="Interligne"/>
    <w:basedOn w:val="Normal"/>
    <w:rsid w:val="000C1EBB"/>
    <w:pPr>
      <w:spacing w:line="240" w:lineRule="exact"/>
    </w:pPr>
  </w:style>
  <w:style w:type="paragraph" w:customStyle="1" w:styleId="Titredudocument">
    <w:name w:val="Titre du document"/>
    <w:basedOn w:val="Normal"/>
    <w:qFormat/>
    <w:rsid w:val="00CB21A0"/>
    <w:pPr>
      <w:spacing w:after="600" w:line="504" w:lineRule="atLeast"/>
      <w:ind w:left="851" w:right="4534"/>
    </w:pPr>
    <w:rPr>
      <w:b/>
      <w:color w:val="FFFFFF" w:themeColor="background1"/>
      <w:sz w:val="56"/>
      <w:szCs w:val="36"/>
    </w:rPr>
  </w:style>
  <w:style w:type="paragraph" w:customStyle="1" w:styleId="Dossierdepresse">
    <w:name w:val="Dossier de presse"/>
    <w:basedOn w:val="Normal"/>
    <w:rsid w:val="002C449B"/>
    <w:pPr>
      <w:spacing w:before="60" w:line="288" w:lineRule="exact"/>
      <w:jc w:val="right"/>
    </w:pPr>
    <w:rPr>
      <w:b/>
      <w:color w:val="FFFFFF" w:themeColor="background2"/>
      <w:sz w:val="24"/>
    </w:rPr>
  </w:style>
  <w:style w:type="paragraph" w:customStyle="1" w:styleId="Dossierdepresseautomatique">
    <w:name w:val="Dossier de presse automatique"/>
    <w:basedOn w:val="Normal"/>
    <w:rsid w:val="002C449B"/>
    <w:pPr>
      <w:framePr w:w="10206" w:h="1418" w:wrap="notBeside" w:vAnchor="page" w:hAnchor="page" w:x="852" w:y="852"/>
      <w:spacing w:line="288" w:lineRule="exact"/>
      <w:jc w:val="right"/>
    </w:pPr>
    <w:rPr>
      <w:b/>
      <w:color w:val="FFFFFF" w:themeColor="background2"/>
      <w:sz w:val="24"/>
    </w:rPr>
  </w:style>
  <w:style w:type="paragraph" w:customStyle="1" w:styleId="Textecourantbleuclair">
    <w:name w:val="Texte courant bleu clair"/>
    <w:basedOn w:val="Textecourant"/>
    <w:link w:val="TextecourantbleuclairCar"/>
    <w:rsid w:val="00827F49"/>
    <w:pPr>
      <w:spacing w:line="240" w:lineRule="atLeast"/>
    </w:pPr>
    <w:rPr>
      <w:color w:val="4F9E30" w:themeColor="text2"/>
    </w:rPr>
  </w:style>
  <w:style w:type="character" w:customStyle="1" w:styleId="TextecourantbleuclairCar">
    <w:name w:val="Texte courant bleu clair Car"/>
    <w:basedOn w:val="TextecourantCar"/>
    <w:link w:val="Textecourantbleuclair"/>
    <w:rsid w:val="00827F49"/>
    <w:rPr>
      <w:color w:val="4F9E30" w:themeColor="text2"/>
      <w:sz w:val="20"/>
    </w:rPr>
  </w:style>
  <w:style w:type="paragraph" w:customStyle="1" w:styleId="Titrepage">
    <w:name w:val="Titre page"/>
    <w:basedOn w:val="Titre1"/>
    <w:next w:val="Titre1"/>
    <w:link w:val="TitrepageCar"/>
    <w:autoRedefine/>
    <w:qFormat/>
    <w:rsid w:val="00090A6D"/>
    <w:pPr>
      <w:numPr>
        <w:numId w:val="0"/>
      </w:numPr>
      <w:spacing w:before="480" w:after="200" w:line="276" w:lineRule="auto"/>
    </w:pPr>
    <w:rPr>
      <w:color w:val="1089FF" w:themeColor="accent3"/>
      <w:szCs w:val="36"/>
      <w:lang w:val="en-GB"/>
    </w:rPr>
  </w:style>
  <w:style w:type="paragraph" w:customStyle="1" w:styleId="Soustitreintroduction">
    <w:name w:val="Sous titre introduction"/>
    <w:basedOn w:val="Titre3"/>
    <w:qFormat/>
    <w:rsid w:val="0091111B"/>
    <w:pPr>
      <w:spacing w:after="300" w:line="336" w:lineRule="atLeast"/>
      <w:outlineLvl w:val="1"/>
    </w:pPr>
    <w:rPr>
      <w:b/>
      <w:color w:val="001A70" w:themeColor="accent1"/>
      <w:sz w:val="28"/>
    </w:rPr>
  </w:style>
  <w:style w:type="paragraph" w:styleId="TM1">
    <w:name w:val="toc 1"/>
    <w:basedOn w:val="Normal"/>
    <w:next w:val="Normal"/>
    <w:autoRedefine/>
    <w:uiPriority w:val="39"/>
    <w:unhideWhenUsed/>
    <w:rsid w:val="0091111B"/>
    <w:pPr>
      <w:tabs>
        <w:tab w:val="right" w:leader="dot" w:pos="10194"/>
      </w:tabs>
      <w:spacing w:before="120"/>
    </w:pPr>
    <w:rPr>
      <w:rFonts w:cstheme="minorHAnsi"/>
      <w:b/>
      <w:bCs/>
      <w:i/>
      <w:iCs/>
      <w:noProof/>
      <w:color w:val="1089FF" w:themeColor="accent3"/>
      <w:sz w:val="28"/>
      <w:szCs w:val="28"/>
    </w:rPr>
  </w:style>
  <w:style w:type="paragraph" w:styleId="TM2">
    <w:name w:val="toc 2"/>
    <w:basedOn w:val="Normal"/>
    <w:next w:val="Normal"/>
    <w:autoRedefine/>
    <w:uiPriority w:val="39"/>
    <w:unhideWhenUsed/>
    <w:rsid w:val="002D2C18"/>
    <w:pPr>
      <w:spacing w:before="120"/>
    </w:pPr>
    <w:rPr>
      <w:rFonts w:cstheme="minorHAnsi"/>
      <w:b/>
      <w:bCs/>
      <w:color w:val="001A70" w:themeColor="accent1"/>
      <w:sz w:val="24"/>
    </w:rPr>
  </w:style>
  <w:style w:type="paragraph" w:customStyle="1" w:styleId="Titresommaire">
    <w:name w:val="Titre sommaire"/>
    <w:basedOn w:val="Textecourant"/>
    <w:rsid w:val="00827F49"/>
    <w:pPr>
      <w:spacing w:line="1000" w:lineRule="exact"/>
    </w:pPr>
    <w:rPr>
      <w:b/>
      <w:color w:val="FFFFFF" w:themeColor="background2"/>
      <w:sz w:val="60"/>
    </w:rPr>
  </w:style>
  <w:style w:type="character" w:styleId="Lienhypertexte">
    <w:name w:val="Hyperlink"/>
    <w:basedOn w:val="Policepardfaut"/>
    <w:uiPriority w:val="99"/>
    <w:unhideWhenUsed/>
    <w:rsid w:val="00827F49"/>
    <w:rPr>
      <w:color w:val="001A70" w:themeColor="hyperlink"/>
      <w:u w:val="single"/>
    </w:rPr>
  </w:style>
  <w:style w:type="paragraph" w:customStyle="1" w:styleId="Texteblocimage">
    <w:name w:val="Texte bloc image"/>
    <w:basedOn w:val="Textecourant"/>
    <w:link w:val="TexteblocimageCar"/>
    <w:qFormat/>
    <w:rsid w:val="006B442F"/>
    <w:rPr>
      <w:b/>
      <w:bCs/>
      <w:color w:val="1057C8" w:themeColor="accent2"/>
      <w:lang w:eastAsia="fr-FR"/>
    </w:rPr>
  </w:style>
  <w:style w:type="paragraph" w:customStyle="1" w:styleId="Titreblocimage">
    <w:name w:val="Titre bloc image"/>
    <w:basedOn w:val="Titrepage"/>
    <w:link w:val="TitreblocimageCar"/>
    <w:rsid w:val="00CB21A0"/>
    <w:rPr>
      <w:color w:val="001A70" w:themeColor="accent1"/>
      <w:szCs w:val="28"/>
    </w:rPr>
  </w:style>
  <w:style w:type="character" w:customStyle="1" w:styleId="TexteblocimageCar">
    <w:name w:val="Texte bloc image Car"/>
    <w:basedOn w:val="TextecourantCar"/>
    <w:link w:val="Texteblocimage"/>
    <w:rsid w:val="006B442F"/>
    <w:rPr>
      <w:b/>
      <w:bCs/>
      <w:color w:val="1057C8" w:themeColor="accent2"/>
      <w:sz w:val="20"/>
      <w:lang w:eastAsia="fr-FR"/>
    </w:rPr>
  </w:style>
  <w:style w:type="character" w:customStyle="1" w:styleId="TitreblocimageCar">
    <w:name w:val="Titre bloc image Car"/>
    <w:basedOn w:val="TexteblocimageCar"/>
    <w:link w:val="Titreblocimage"/>
    <w:rsid w:val="00CB21A0"/>
    <w:rPr>
      <w:b w:val="0"/>
      <w:bCs w:val="0"/>
      <w:color w:val="001A70" w:themeColor="accent1"/>
      <w:sz w:val="28"/>
      <w:szCs w:val="28"/>
      <w:lang w:eastAsia="fr-FR"/>
    </w:rPr>
  </w:style>
  <w:style w:type="paragraph" w:customStyle="1" w:styleId="Page">
    <w:name w:val="Page"/>
    <w:basedOn w:val="Normal"/>
    <w:rsid w:val="00827F49"/>
    <w:pPr>
      <w:framePr w:w="10206" w:h="113" w:wrap="notBeside" w:vAnchor="page" w:hAnchor="page" w:x="852" w:y="15707"/>
      <w:spacing w:line="144" w:lineRule="exact"/>
      <w:jc w:val="right"/>
    </w:pPr>
    <w:rPr>
      <w:b/>
      <w:sz w:val="12"/>
    </w:rPr>
  </w:style>
  <w:style w:type="paragraph" w:customStyle="1" w:styleId="Titredudocumentautomatique">
    <w:name w:val="Titre du document automatique"/>
    <w:basedOn w:val="Page"/>
    <w:rsid w:val="00827F49"/>
    <w:pPr>
      <w:framePr w:wrap="notBeside"/>
    </w:pPr>
    <w:rPr>
      <w:color w:val="333333"/>
    </w:rPr>
  </w:style>
  <w:style w:type="character" w:styleId="Numrodepage">
    <w:name w:val="page number"/>
    <w:basedOn w:val="Policepardfaut"/>
    <w:uiPriority w:val="99"/>
    <w:semiHidden/>
    <w:unhideWhenUsed/>
    <w:rsid w:val="0078520F"/>
  </w:style>
  <w:style w:type="paragraph" w:styleId="En-ttedetabledesmatires">
    <w:name w:val="TOC Heading"/>
    <w:basedOn w:val="Titre1"/>
    <w:next w:val="Normal"/>
    <w:uiPriority w:val="39"/>
    <w:unhideWhenUsed/>
    <w:qFormat/>
    <w:rsid w:val="006644DB"/>
    <w:pPr>
      <w:numPr>
        <w:numId w:val="0"/>
      </w:numPr>
      <w:spacing w:before="480" w:after="0" w:line="276" w:lineRule="auto"/>
      <w:outlineLvl w:val="9"/>
    </w:pPr>
    <w:rPr>
      <w:color w:val="1057C8" w:themeColor="accent2"/>
      <w:lang w:eastAsia="fr-FR"/>
    </w:rPr>
  </w:style>
  <w:style w:type="paragraph" w:styleId="TM3">
    <w:name w:val="toc 3"/>
    <w:basedOn w:val="Normal"/>
    <w:next w:val="Normal"/>
    <w:autoRedefine/>
    <w:uiPriority w:val="39"/>
    <w:unhideWhenUsed/>
    <w:rsid w:val="00B45FFA"/>
    <w:pPr>
      <w:tabs>
        <w:tab w:val="right" w:leader="dot" w:pos="10194"/>
      </w:tabs>
    </w:pPr>
    <w:rPr>
      <w:rFonts w:cstheme="minorHAnsi"/>
      <w:bCs/>
      <w:noProof/>
      <w:color w:val="001A70" w:themeColor="accent1"/>
      <w:szCs w:val="20"/>
    </w:rPr>
  </w:style>
  <w:style w:type="paragraph" w:styleId="TM4">
    <w:name w:val="toc 4"/>
    <w:basedOn w:val="Normal"/>
    <w:next w:val="Normal"/>
    <w:autoRedefine/>
    <w:uiPriority w:val="39"/>
    <w:semiHidden/>
    <w:unhideWhenUsed/>
    <w:rsid w:val="003044E4"/>
    <w:pPr>
      <w:ind w:left="600"/>
    </w:pPr>
    <w:rPr>
      <w:rFonts w:cstheme="minorHAnsi"/>
      <w:szCs w:val="20"/>
    </w:rPr>
  </w:style>
  <w:style w:type="paragraph" w:styleId="TM5">
    <w:name w:val="toc 5"/>
    <w:basedOn w:val="Normal"/>
    <w:next w:val="Normal"/>
    <w:autoRedefine/>
    <w:uiPriority w:val="39"/>
    <w:semiHidden/>
    <w:unhideWhenUsed/>
    <w:rsid w:val="003044E4"/>
    <w:pPr>
      <w:ind w:left="800"/>
    </w:pPr>
    <w:rPr>
      <w:rFonts w:cstheme="minorHAnsi"/>
      <w:szCs w:val="20"/>
    </w:rPr>
  </w:style>
  <w:style w:type="paragraph" w:styleId="TM6">
    <w:name w:val="toc 6"/>
    <w:basedOn w:val="Normal"/>
    <w:next w:val="Normal"/>
    <w:autoRedefine/>
    <w:uiPriority w:val="39"/>
    <w:semiHidden/>
    <w:unhideWhenUsed/>
    <w:rsid w:val="003044E4"/>
    <w:pPr>
      <w:ind w:left="1000"/>
    </w:pPr>
    <w:rPr>
      <w:rFonts w:cstheme="minorHAnsi"/>
      <w:szCs w:val="20"/>
    </w:rPr>
  </w:style>
  <w:style w:type="paragraph" w:styleId="TM7">
    <w:name w:val="toc 7"/>
    <w:basedOn w:val="Normal"/>
    <w:next w:val="Normal"/>
    <w:autoRedefine/>
    <w:uiPriority w:val="39"/>
    <w:semiHidden/>
    <w:unhideWhenUsed/>
    <w:rsid w:val="003044E4"/>
    <w:pPr>
      <w:ind w:left="1200"/>
    </w:pPr>
    <w:rPr>
      <w:rFonts w:cstheme="minorHAnsi"/>
      <w:szCs w:val="20"/>
    </w:rPr>
  </w:style>
  <w:style w:type="paragraph" w:styleId="TM8">
    <w:name w:val="toc 8"/>
    <w:basedOn w:val="Normal"/>
    <w:next w:val="Normal"/>
    <w:autoRedefine/>
    <w:uiPriority w:val="39"/>
    <w:semiHidden/>
    <w:unhideWhenUsed/>
    <w:rsid w:val="003044E4"/>
    <w:pPr>
      <w:ind w:left="1400"/>
    </w:pPr>
    <w:rPr>
      <w:rFonts w:cstheme="minorHAnsi"/>
      <w:szCs w:val="20"/>
    </w:rPr>
  </w:style>
  <w:style w:type="paragraph" w:styleId="TM9">
    <w:name w:val="toc 9"/>
    <w:basedOn w:val="Normal"/>
    <w:next w:val="Normal"/>
    <w:autoRedefine/>
    <w:uiPriority w:val="39"/>
    <w:semiHidden/>
    <w:unhideWhenUsed/>
    <w:rsid w:val="003044E4"/>
    <w:pPr>
      <w:ind w:left="1600"/>
    </w:pPr>
    <w:rPr>
      <w:rFonts w:cstheme="minorHAnsi"/>
      <w:szCs w:val="20"/>
    </w:rPr>
  </w:style>
  <w:style w:type="character" w:customStyle="1" w:styleId="Titre3Car">
    <w:name w:val="Titre 3 Car"/>
    <w:basedOn w:val="Policepardfaut"/>
    <w:link w:val="Titre3"/>
    <w:uiPriority w:val="9"/>
    <w:rsid w:val="006644DB"/>
    <w:rPr>
      <w:rFonts w:asciiTheme="majorHAnsi" w:eastAsiaTheme="majorEastAsia" w:hAnsiTheme="majorHAnsi" w:cstheme="majorBidi"/>
      <w:color w:val="000C37" w:themeColor="accent1" w:themeShade="7F"/>
      <w:sz w:val="24"/>
      <w:szCs w:val="24"/>
    </w:rPr>
  </w:style>
  <w:style w:type="character" w:customStyle="1" w:styleId="TitrepageCar">
    <w:name w:val="Titre page Car"/>
    <w:basedOn w:val="Policepardfaut"/>
    <w:link w:val="Titrepage"/>
    <w:rsid w:val="00090A6D"/>
    <w:rPr>
      <w:rFonts w:asciiTheme="majorHAnsi" w:eastAsiaTheme="majorEastAsia" w:hAnsiTheme="majorHAnsi" w:cstheme="majorBidi"/>
      <w:b/>
      <w:bCs/>
      <w:color w:val="1089FF" w:themeColor="accent3"/>
      <w:sz w:val="28"/>
      <w:szCs w:val="36"/>
      <w:lang w:val="en-GB"/>
    </w:rPr>
  </w:style>
  <w:style w:type="paragraph" w:styleId="NormalWeb">
    <w:name w:val="Normal (Web)"/>
    <w:basedOn w:val="Normal"/>
    <w:uiPriority w:val="99"/>
    <w:unhideWhenUsed/>
    <w:rsid w:val="00CB21A0"/>
    <w:pPr>
      <w:spacing w:before="100" w:beforeAutospacing="1" w:after="100" w:afterAutospacing="1" w:line="240" w:lineRule="auto"/>
    </w:pPr>
    <w:rPr>
      <w:rFonts w:ascii="Times New Roman" w:eastAsia="Times New Roman" w:hAnsi="Times New Roman" w:cs="Times New Roman"/>
      <w:sz w:val="24"/>
      <w:szCs w:val="24"/>
      <w:lang w:eastAsia="fr-FR"/>
    </w:rPr>
  </w:style>
  <w:style w:type="numbering" w:customStyle="1" w:styleId="Listeactuelle1">
    <w:name w:val="Liste actuelle1"/>
    <w:uiPriority w:val="99"/>
    <w:rsid w:val="00DE7145"/>
    <w:pPr>
      <w:numPr>
        <w:numId w:val="14"/>
      </w:numPr>
    </w:pPr>
  </w:style>
  <w:style w:type="paragraph" w:customStyle="1" w:styleId="TitrepageOrange">
    <w:name w:val="Titre page Orange"/>
    <w:basedOn w:val="Titrepage"/>
    <w:rsid w:val="00A16832"/>
    <w:pPr>
      <w:ind w:left="1134"/>
    </w:pPr>
    <w:rPr>
      <w:noProof/>
      <w:color w:val="FE5716" w:themeColor="accent6"/>
    </w:rPr>
  </w:style>
  <w:style w:type="paragraph" w:customStyle="1" w:styleId="Style1">
    <w:name w:val="Style1"/>
    <w:basedOn w:val="Titrepage"/>
    <w:rsid w:val="00A16832"/>
    <w:pPr>
      <w:ind w:left="1134"/>
    </w:pPr>
    <w:rPr>
      <w:noProof/>
      <w:color w:val="FE5716" w:themeColor="accent6"/>
    </w:rPr>
  </w:style>
  <w:style w:type="paragraph" w:customStyle="1" w:styleId="Style2">
    <w:name w:val="Style2"/>
    <w:basedOn w:val="Titrepage"/>
    <w:rsid w:val="00C67F9A"/>
    <w:pPr>
      <w:ind w:left="1134"/>
    </w:pPr>
    <w:rPr>
      <w:noProof/>
      <w:color w:val="FE5716" w:themeColor="accent6"/>
    </w:rPr>
  </w:style>
  <w:style w:type="paragraph" w:customStyle="1" w:styleId="TitreOrange">
    <w:name w:val="Titre Orange"/>
    <w:basedOn w:val="Titre1"/>
    <w:rsid w:val="001B1C12"/>
    <w:pPr>
      <w:numPr>
        <w:numId w:val="0"/>
      </w:numPr>
    </w:pPr>
    <w:rPr>
      <w:noProof/>
      <w:color w:val="FE5716" w:themeColor="accent6"/>
    </w:rPr>
  </w:style>
  <w:style w:type="numbering" w:customStyle="1" w:styleId="Listeactuelle2">
    <w:name w:val="Liste actuelle2"/>
    <w:uiPriority w:val="99"/>
    <w:rsid w:val="001B1C12"/>
    <w:pPr>
      <w:numPr>
        <w:numId w:val="15"/>
      </w:numPr>
    </w:pPr>
  </w:style>
  <w:style w:type="paragraph" w:customStyle="1" w:styleId="Vert">
    <w:name w:val="Vert"/>
    <w:basedOn w:val="Titrepage"/>
    <w:rsid w:val="00083D5E"/>
    <w:pPr>
      <w:ind w:left="1134"/>
    </w:pPr>
    <w:rPr>
      <w:noProof/>
      <w:color w:val="88D910" w:themeColor="accent4"/>
    </w:rPr>
  </w:style>
  <w:style w:type="paragraph" w:styleId="Notedebasdepage">
    <w:name w:val="footnote text"/>
    <w:basedOn w:val="Normal"/>
    <w:link w:val="NotedebasdepageCar"/>
    <w:uiPriority w:val="99"/>
    <w:semiHidden/>
    <w:unhideWhenUsed/>
    <w:rsid w:val="002728DA"/>
    <w:pPr>
      <w:spacing w:line="240" w:lineRule="auto"/>
    </w:pPr>
    <w:rPr>
      <w:szCs w:val="20"/>
    </w:rPr>
  </w:style>
  <w:style w:type="character" w:customStyle="1" w:styleId="NotedebasdepageCar">
    <w:name w:val="Note de bas de page Car"/>
    <w:basedOn w:val="Policepardfaut"/>
    <w:link w:val="Notedebasdepage"/>
    <w:uiPriority w:val="99"/>
    <w:semiHidden/>
    <w:rsid w:val="002728DA"/>
    <w:rPr>
      <w:sz w:val="20"/>
      <w:szCs w:val="20"/>
    </w:rPr>
  </w:style>
  <w:style w:type="character" w:styleId="Appelnotedebasdep">
    <w:name w:val="footnote reference"/>
    <w:basedOn w:val="Policepardfaut"/>
    <w:uiPriority w:val="99"/>
    <w:semiHidden/>
    <w:unhideWhenUsed/>
    <w:rsid w:val="002728DA"/>
    <w:rPr>
      <w:vertAlign w:val="superscript"/>
    </w:rPr>
  </w:style>
  <w:style w:type="paragraph" w:styleId="Notedefin">
    <w:name w:val="endnote text"/>
    <w:basedOn w:val="Normal"/>
    <w:link w:val="NotedefinCar"/>
    <w:uiPriority w:val="99"/>
    <w:semiHidden/>
    <w:unhideWhenUsed/>
    <w:rsid w:val="003478FB"/>
    <w:pPr>
      <w:spacing w:line="240" w:lineRule="auto"/>
    </w:pPr>
    <w:rPr>
      <w:szCs w:val="20"/>
    </w:rPr>
  </w:style>
  <w:style w:type="character" w:customStyle="1" w:styleId="NotedefinCar">
    <w:name w:val="Note de fin Car"/>
    <w:basedOn w:val="Policepardfaut"/>
    <w:link w:val="Notedefin"/>
    <w:uiPriority w:val="99"/>
    <w:semiHidden/>
    <w:rsid w:val="003478FB"/>
    <w:rPr>
      <w:sz w:val="20"/>
      <w:szCs w:val="20"/>
    </w:rPr>
  </w:style>
  <w:style w:type="character" w:styleId="Appeldenotedefin">
    <w:name w:val="endnote reference"/>
    <w:basedOn w:val="Policepardfaut"/>
    <w:uiPriority w:val="99"/>
    <w:semiHidden/>
    <w:unhideWhenUsed/>
    <w:rsid w:val="003478FB"/>
    <w:rPr>
      <w:vertAlign w:val="superscript"/>
    </w:rPr>
  </w:style>
  <w:style w:type="paragraph" w:customStyle="1" w:styleId="Citationtexte">
    <w:name w:val="Citation texte"/>
    <w:basedOn w:val="Textecourant"/>
    <w:rsid w:val="004C465D"/>
    <w:rPr>
      <w:i/>
      <w:iCs/>
    </w:rPr>
  </w:style>
  <w:style w:type="paragraph" w:customStyle="1" w:styleId="CitationTextecourant">
    <w:name w:val="Citation Texte courant"/>
    <w:basedOn w:val="Textecourant"/>
    <w:qFormat/>
    <w:rsid w:val="004C465D"/>
    <w:rPr>
      <w:i/>
      <w:iCs/>
    </w:rPr>
  </w:style>
  <w:style w:type="character" w:styleId="Marquedecommentaire">
    <w:name w:val="annotation reference"/>
    <w:basedOn w:val="Policepardfaut"/>
    <w:uiPriority w:val="99"/>
    <w:semiHidden/>
    <w:unhideWhenUsed/>
    <w:rsid w:val="006B2B26"/>
    <w:rPr>
      <w:sz w:val="16"/>
      <w:szCs w:val="16"/>
    </w:rPr>
  </w:style>
  <w:style w:type="paragraph" w:styleId="Commentaire">
    <w:name w:val="annotation text"/>
    <w:basedOn w:val="Normal"/>
    <w:link w:val="CommentaireCar"/>
    <w:uiPriority w:val="99"/>
    <w:unhideWhenUsed/>
    <w:rsid w:val="006B2B26"/>
    <w:pPr>
      <w:spacing w:line="240" w:lineRule="auto"/>
    </w:pPr>
    <w:rPr>
      <w:szCs w:val="20"/>
    </w:rPr>
  </w:style>
  <w:style w:type="character" w:customStyle="1" w:styleId="CommentaireCar">
    <w:name w:val="Commentaire Car"/>
    <w:basedOn w:val="Policepardfaut"/>
    <w:link w:val="Commentaire"/>
    <w:uiPriority w:val="99"/>
    <w:rsid w:val="006B2B26"/>
    <w:rPr>
      <w:sz w:val="20"/>
      <w:szCs w:val="20"/>
    </w:rPr>
  </w:style>
  <w:style w:type="paragraph" w:styleId="Objetducommentaire">
    <w:name w:val="annotation subject"/>
    <w:basedOn w:val="Commentaire"/>
    <w:next w:val="Commentaire"/>
    <w:link w:val="ObjetducommentaireCar"/>
    <w:uiPriority w:val="99"/>
    <w:semiHidden/>
    <w:unhideWhenUsed/>
    <w:rsid w:val="006B2B26"/>
    <w:rPr>
      <w:b/>
      <w:bCs/>
    </w:rPr>
  </w:style>
  <w:style w:type="character" w:customStyle="1" w:styleId="ObjetducommentaireCar">
    <w:name w:val="Objet du commentaire Car"/>
    <w:basedOn w:val="CommentaireCar"/>
    <w:link w:val="Objetducommentaire"/>
    <w:uiPriority w:val="99"/>
    <w:semiHidden/>
    <w:rsid w:val="006B2B26"/>
    <w:rPr>
      <w:b/>
      <w:bCs/>
      <w:sz w:val="20"/>
      <w:szCs w:val="20"/>
    </w:rPr>
  </w:style>
  <w:style w:type="character" w:customStyle="1" w:styleId="Relief">
    <w:name w:val="Relief"/>
    <w:basedOn w:val="Policepardfaut"/>
    <w:uiPriority w:val="1"/>
    <w:qFormat/>
    <w:rsid w:val="00572300"/>
    <w:rPr>
      <w:b/>
      <w:color w:val="005BBB"/>
    </w:rPr>
  </w:style>
  <w:style w:type="paragraph" w:customStyle="1" w:styleId="List1-bullet">
    <w:name w:val="List 1 - bullet"/>
    <w:basedOn w:val="Normal"/>
    <w:link w:val="List1-bulletCar"/>
    <w:qFormat/>
    <w:rsid w:val="00572300"/>
    <w:pPr>
      <w:numPr>
        <w:numId w:val="19"/>
      </w:numPr>
      <w:spacing w:before="120"/>
      <w:jc w:val="both"/>
    </w:pPr>
    <w:rPr>
      <w:rFonts w:ascii="Arial" w:hAnsi="Arial" w:cs="Times New Roman"/>
      <w:szCs w:val="20"/>
      <w:lang w:val="en-GB"/>
    </w:rPr>
  </w:style>
  <w:style w:type="character" w:customStyle="1" w:styleId="List1-bulletCar">
    <w:name w:val="List 1 - bullet Car"/>
    <w:basedOn w:val="Policepardfaut"/>
    <w:link w:val="List1-bullet"/>
    <w:rsid w:val="00572300"/>
    <w:rPr>
      <w:rFonts w:ascii="Arial" w:hAnsi="Arial" w:cs="Times New Roman"/>
      <w:sz w:val="20"/>
      <w:szCs w:val="20"/>
      <w:lang w:val="en-GB"/>
    </w:rPr>
  </w:style>
  <w:style w:type="paragraph" w:styleId="Rvision">
    <w:name w:val="Revision"/>
    <w:hidden/>
    <w:uiPriority w:val="99"/>
    <w:semiHidden/>
    <w:rsid w:val="00572300"/>
    <w:pPr>
      <w:spacing w:after="0" w:line="240" w:lineRule="auto"/>
    </w:pPr>
    <w:rPr>
      <w:sz w:val="20"/>
    </w:rPr>
  </w:style>
  <w:style w:type="character" w:customStyle="1" w:styleId="normaltextrun">
    <w:name w:val="normaltextrun"/>
    <w:basedOn w:val="Policepardfaut"/>
    <w:rsid w:val="00572300"/>
  </w:style>
  <w:style w:type="character" w:customStyle="1" w:styleId="publication-date">
    <w:name w:val="publication-date"/>
    <w:basedOn w:val="Policepardfaut"/>
    <w:rsid w:val="00C21833"/>
  </w:style>
  <w:style w:type="paragraph" w:customStyle="1" w:styleId="Default">
    <w:name w:val="Default"/>
    <w:rsid w:val="008264C3"/>
    <w:pPr>
      <w:autoSpaceDE w:val="0"/>
      <w:autoSpaceDN w:val="0"/>
      <w:adjustRightInd w:val="0"/>
      <w:spacing w:after="0" w:line="240" w:lineRule="auto"/>
    </w:pPr>
    <w:rPr>
      <w:rFonts w:ascii="Arial" w:hAnsi="Arial" w:cs="Arial"/>
      <w:color w:val="000000"/>
      <w:sz w:val="24"/>
      <w:szCs w:val="24"/>
      <w:lang w:val="fr-FR"/>
    </w:rPr>
  </w:style>
  <w:style w:type="paragraph" w:styleId="Paragraphedeliste">
    <w:name w:val="List Paragraph"/>
    <w:aliases w:val="TOC2,Liste puces 2,Paragraphe de liste1,Résumé,Dot pt,No Spacing1,List Paragraph Char Char Char,Indicator Text,Numbered Para 1,List Paragraph1,Bullet 1,Bullet Points,MAIN CONTENT,List Paragraph12,F5 List Paragraph,List Paragraph11,L"/>
    <w:basedOn w:val="Normal"/>
    <w:link w:val="ParagraphedelisteCar"/>
    <w:uiPriority w:val="34"/>
    <w:qFormat/>
    <w:rsid w:val="008264C3"/>
    <w:pPr>
      <w:spacing w:after="160" w:line="259" w:lineRule="auto"/>
      <w:ind w:left="720"/>
      <w:contextualSpacing/>
    </w:pPr>
    <w:rPr>
      <w:sz w:val="22"/>
      <w:lang w:val="fr-FR"/>
    </w:rPr>
  </w:style>
  <w:style w:type="character" w:customStyle="1" w:styleId="ParagraphedelisteCar">
    <w:name w:val="Paragraphe de liste Car"/>
    <w:aliases w:val="TOC2 Car,Liste puces 2 Car,Paragraphe de liste1 Car,Résumé Car,Dot pt Car,No Spacing1 Car,List Paragraph Char Char Char Car,Indicator Text Car,Numbered Para 1 Car,List Paragraph1 Car,Bullet 1 Car,Bullet Points Car,L Car"/>
    <w:basedOn w:val="Policepardfaut"/>
    <w:link w:val="Paragraphedeliste"/>
    <w:uiPriority w:val="34"/>
    <w:qFormat/>
    <w:rsid w:val="008264C3"/>
    <w:rPr>
      <w:lang w:val="fr-FR"/>
    </w:rPr>
  </w:style>
  <w:style w:type="character" w:customStyle="1" w:styleId="rynqvb">
    <w:name w:val="rynqvb"/>
    <w:basedOn w:val="Policepardfaut"/>
    <w:rsid w:val="006B4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2824">
      <w:bodyDiv w:val="1"/>
      <w:marLeft w:val="0"/>
      <w:marRight w:val="0"/>
      <w:marTop w:val="0"/>
      <w:marBottom w:val="0"/>
      <w:divBdr>
        <w:top w:val="none" w:sz="0" w:space="0" w:color="auto"/>
        <w:left w:val="none" w:sz="0" w:space="0" w:color="auto"/>
        <w:bottom w:val="none" w:sz="0" w:space="0" w:color="auto"/>
        <w:right w:val="none" w:sz="0" w:space="0" w:color="auto"/>
      </w:divBdr>
    </w:div>
    <w:div w:id="166134596">
      <w:bodyDiv w:val="1"/>
      <w:marLeft w:val="0"/>
      <w:marRight w:val="0"/>
      <w:marTop w:val="0"/>
      <w:marBottom w:val="0"/>
      <w:divBdr>
        <w:top w:val="none" w:sz="0" w:space="0" w:color="auto"/>
        <w:left w:val="none" w:sz="0" w:space="0" w:color="auto"/>
        <w:bottom w:val="none" w:sz="0" w:space="0" w:color="auto"/>
        <w:right w:val="none" w:sz="0" w:space="0" w:color="auto"/>
      </w:divBdr>
      <w:divsChild>
        <w:div w:id="901912905">
          <w:marLeft w:val="0"/>
          <w:marRight w:val="0"/>
          <w:marTop w:val="0"/>
          <w:marBottom w:val="0"/>
          <w:divBdr>
            <w:top w:val="none" w:sz="0" w:space="0" w:color="auto"/>
            <w:left w:val="none" w:sz="0" w:space="0" w:color="auto"/>
            <w:bottom w:val="none" w:sz="0" w:space="0" w:color="auto"/>
            <w:right w:val="none" w:sz="0" w:space="0" w:color="auto"/>
          </w:divBdr>
          <w:divsChild>
            <w:div w:id="1779334157">
              <w:marLeft w:val="0"/>
              <w:marRight w:val="0"/>
              <w:marTop w:val="0"/>
              <w:marBottom w:val="0"/>
              <w:divBdr>
                <w:top w:val="none" w:sz="0" w:space="0" w:color="auto"/>
                <w:left w:val="none" w:sz="0" w:space="0" w:color="auto"/>
                <w:bottom w:val="none" w:sz="0" w:space="0" w:color="auto"/>
                <w:right w:val="none" w:sz="0" w:space="0" w:color="auto"/>
              </w:divBdr>
              <w:divsChild>
                <w:div w:id="83912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772989">
      <w:bodyDiv w:val="1"/>
      <w:marLeft w:val="0"/>
      <w:marRight w:val="0"/>
      <w:marTop w:val="0"/>
      <w:marBottom w:val="0"/>
      <w:divBdr>
        <w:top w:val="none" w:sz="0" w:space="0" w:color="auto"/>
        <w:left w:val="none" w:sz="0" w:space="0" w:color="auto"/>
        <w:bottom w:val="none" w:sz="0" w:space="0" w:color="auto"/>
        <w:right w:val="none" w:sz="0" w:space="0" w:color="auto"/>
      </w:divBdr>
      <w:divsChild>
        <w:div w:id="152380189">
          <w:marLeft w:val="0"/>
          <w:marRight w:val="0"/>
          <w:marTop w:val="0"/>
          <w:marBottom w:val="0"/>
          <w:divBdr>
            <w:top w:val="none" w:sz="0" w:space="0" w:color="auto"/>
            <w:left w:val="none" w:sz="0" w:space="0" w:color="auto"/>
            <w:bottom w:val="none" w:sz="0" w:space="0" w:color="auto"/>
            <w:right w:val="none" w:sz="0" w:space="0" w:color="auto"/>
          </w:divBdr>
          <w:divsChild>
            <w:div w:id="563032738">
              <w:marLeft w:val="0"/>
              <w:marRight w:val="0"/>
              <w:marTop w:val="0"/>
              <w:marBottom w:val="0"/>
              <w:divBdr>
                <w:top w:val="none" w:sz="0" w:space="0" w:color="auto"/>
                <w:left w:val="none" w:sz="0" w:space="0" w:color="auto"/>
                <w:bottom w:val="none" w:sz="0" w:space="0" w:color="auto"/>
                <w:right w:val="none" w:sz="0" w:space="0" w:color="auto"/>
              </w:divBdr>
              <w:divsChild>
                <w:div w:id="33862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16852">
      <w:bodyDiv w:val="1"/>
      <w:marLeft w:val="0"/>
      <w:marRight w:val="0"/>
      <w:marTop w:val="0"/>
      <w:marBottom w:val="0"/>
      <w:divBdr>
        <w:top w:val="none" w:sz="0" w:space="0" w:color="auto"/>
        <w:left w:val="none" w:sz="0" w:space="0" w:color="auto"/>
        <w:bottom w:val="none" w:sz="0" w:space="0" w:color="auto"/>
        <w:right w:val="none" w:sz="0" w:space="0" w:color="auto"/>
      </w:divBdr>
    </w:div>
    <w:div w:id="729424146">
      <w:bodyDiv w:val="1"/>
      <w:marLeft w:val="0"/>
      <w:marRight w:val="0"/>
      <w:marTop w:val="0"/>
      <w:marBottom w:val="0"/>
      <w:divBdr>
        <w:top w:val="none" w:sz="0" w:space="0" w:color="auto"/>
        <w:left w:val="none" w:sz="0" w:space="0" w:color="auto"/>
        <w:bottom w:val="none" w:sz="0" w:space="0" w:color="auto"/>
        <w:right w:val="none" w:sz="0" w:space="0" w:color="auto"/>
      </w:divBdr>
    </w:div>
    <w:div w:id="795639688">
      <w:bodyDiv w:val="1"/>
      <w:marLeft w:val="0"/>
      <w:marRight w:val="0"/>
      <w:marTop w:val="0"/>
      <w:marBottom w:val="0"/>
      <w:divBdr>
        <w:top w:val="none" w:sz="0" w:space="0" w:color="auto"/>
        <w:left w:val="none" w:sz="0" w:space="0" w:color="auto"/>
        <w:bottom w:val="none" w:sz="0" w:space="0" w:color="auto"/>
        <w:right w:val="none" w:sz="0" w:space="0" w:color="auto"/>
      </w:divBdr>
      <w:divsChild>
        <w:div w:id="1579361988">
          <w:marLeft w:val="0"/>
          <w:marRight w:val="0"/>
          <w:marTop w:val="0"/>
          <w:marBottom w:val="0"/>
          <w:divBdr>
            <w:top w:val="none" w:sz="0" w:space="0" w:color="auto"/>
            <w:left w:val="none" w:sz="0" w:space="0" w:color="auto"/>
            <w:bottom w:val="none" w:sz="0" w:space="0" w:color="auto"/>
            <w:right w:val="none" w:sz="0" w:space="0" w:color="auto"/>
          </w:divBdr>
          <w:divsChild>
            <w:div w:id="1131289474">
              <w:marLeft w:val="0"/>
              <w:marRight w:val="0"/>
              <w:marTop w:val="0"/>
              <w:marBottom w:val="0"/>
              <w:divBdr>
                <w:top w:val="none" w:sz="0" w:space="0" w:color="auto"/>
                <w:left w:val="none" w:sz="0" w:space="0" w:color="auto"/>
                <w:bottom w:val="none" w:sz="0" w:space="0" w:color="auto"/>
                <w:right w:val="none" w:sz="0" w:space="0" w:color="auto"/>
              </w:divBdr>
              <w:divsChild>
                <w:div w:id="8397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424337">
      <w:bodyDiv w:val="1"/>
      <w:marLeft w:val="0"/>
      <w:marRight w:val="0"/>
      <w:marTop w:val="0"/>
      <w:marBottom w:val="0"/>
      <w:divBdr>
        <w:top w:val="none" w:sz="0" w:space="0" w:color="auto"/>
        <w:left w:val="none" w:sz="0" w:space="0" w:color="auto"/>
        <w:bottom w:val="none" w:sz="0" w:space="0" w:color="auto"/>
        <w:right w:val="none" w:sz="0" w:space="0" w:color="auto"/>
      </w:divBdr>
    </w:div>
    <w:div w:id="1115902055">
      <w:bodyDiv w:val="1"/>
      <w:marLeft w:val="0"/>
      <w:marRight w:val="0"/>
      <w:marTop w:val="0"/>
      <w:marBottom w:val="0"/>
      <w:divBdr>
        <w:top w:val="none" w:sz="0" w:space="0" w:color="auto"/>
        <w:left w:val="none" w:sz="0" w:space="0" w:color="auto"/>
        <w:bottom w:val="none" w:sz="0" w:space="0" w:color="auto"/>
        <w:right w:val="none" w:sz="0" w:space="0" w:color="auto"/>
      </w:divBdr>
      <w:divsChild>
        <w:div w:id="289939170">
          <w:marLeft w:val="432"/>
          <w:marRight w:val="432"/>
          <w:marTop w:val="150"/>
          <w:marBottom w:val="150"/>
          <w:divBdr>
            <w:top w:val="none" w:sz="0" w:space="0" w:color="auto"/>
            <w:left w:val="none" w:sz="0" w:space="0" w:color="auto"/>
            <w:bottom w:val="none" w:sz="0" w:space="0" w:color="auto"/>
            <w:right w:val="none" w:sz="0" w:space="0" w:color="auto"/>
          </w:divBdr>
        </w:div>
        <w:div w:id="1386950019">
          <w:marLeft w:val="0"/>
          <w:marRight w:val="-2400"/>
          <w:marTop w:val="0"/>
          <w:marBottom w:val="0"/>
          <w:divBdr>
            <w:top w:val="none" w:sz="0" w:space="0" w:color="auto"/>
            <w:left w:val="none" w:sz="0" w:space="0" w:color="auto"/>
            <w:bottom w:val="none" w:sz="0" w:space="0" w:color="auto"/>
            <w:right w:val="none" w:sz="0" w:space="0" w:color="auto"/>
          </w:divBdr>
          <w:divsChild>
            <w:div w:id="530075078">
              <w:marLeft w:val="0"/>
              <w:marRight w:val="0"/>
              <w:marTop w:val="0"/>
              <w:marBottom w:val="0"/>
              <w:divBdr>
                <w:top w:val="none" w:sz="0" w:space="0" w:color="auto"/>
                <w:left w:val="none" w:sz="0" w:space="0" w:color="auto"/>
                <w:bottom w:val="none" w:sz="0" w:space="0" w:color="auto"/>
                <w:right w:val="none" w:sz="0" w:space="0" w:color="auto"/>
              </w:divBdr>
              <w:divsChild>
                <w:div w:id="16224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173351">
      <w:bodyDiv w:val="1"/>
      <w:marLeft w:val="0"/>
      <w:marRight w:val="0"/>
      <w:marTop w:val="0"/>
      <w:marBottom w:val="0"/>
      <w:divBdr>
        <w:top w:val="none" w:sz="0" w:space="0" w:color="auto"/>
        <w:left w:val="none" w:sz="0" w:space="0" w:color="auto"/>
        <w:bottom w:val="none" w:sz="0" w:space="0" w:color="auto"/>
        <w:right w:val="none" w:sz="0" w:space="0" w:color="auto"/>
      </w:divBdr>
    </w:div>
    <w:div w:id="1259175804">
      <w:bodyDiv w:val="1"/>
      <w:marLeft w:val="0"/>
      <w:marRight w:val="0"/>
      <w:marTop w:val="0"/>
      <w:marBottom w:val="0"/>
      <w:divBdr>
        <w:top w:val="none" w:sz="0" w:space="0" w:color="auto"/>
        <w:left w:val="none" w:sz="0" w:space="0" w:color="auto"/>
        <w:bottom w:val="none" w:sz="0" w:space="0" w:color="auto"/>
        <w:right w:val="none" w:sz="0" w:space="0" w:color="auto"/>
      </w:divBdr>
      <w:divsChild>
        <w:div w:id="159007557">
          <w:marLeft w:val="979"/>
          <w:marRight w:val="0"/>
          <w:marTop w:val="149"/>
          <w:marBottom w:val="0"/>
          <w:divBdr>
            <w:top w:val="none" w:sz="0" w:space="0" w:color="auto"/>
            <w:left w:val="none" w:sz="0" w:space="0" w:color="auto"/>
            <w:bottom w:val="none" w:sz="0" w:space="0" w:color="auto"/>
            <w:right w:val="none" w:sz="0" w:space="0" w:color="auto"/>
          </w:divBdr>
        </w:div>
        <w:div w:id="262806131">
          <w:marLeft w:val="979"/>
          <w:marRight w:val="0"/>
          <w:marTop w:val="149"/>
          <w:marBottom w:val="0"/>
          <w:divBdr>
            <w:top w:val="none" w:sz="0" w:space="0" w:color="auto"/>
            <w:left w:val="none" w:sz="0" w:space="0" w:color="auto"/>
            <w:bottom w:val="none" w:sz="0" w:space="0" w:color="auto"/>
            <w:right w:val="none" w:sz="0" w:space="0" w:color="auto"/>
          </w:divBdr>
        </w:div>
        <w:div w:id="1179468210">
          <w:marLeft w:val="979"/>
          <w:marRight w:val="0"/>
          <w:marTop w:val="149"/>
          <w:marBottom w:val="0"/>
          <w:divBdr>
            <w:top w:val="none" w:sz="0" w:space="0" w:color="auto"/>
            <w:left w:val="none" w:sz="0" w:space="0" w:color="auto"/>
            <w:bottom w:val="none" w:sz="0" w:space="0" w:color="auto"/>
            <w:right w:val="none" w:sz="0" w:space="0" w:color="auto"/>
          </w:divBdr>
        </w:div>
      </w:divsChild>
    </w:div>
    <w:div w:id="1472944335">
      <w:bodyDiv w:val="1"/>
      <w:marLeft w:val="0"/>
      <w:marRight w:val="0"/>
      <w:marTop w:val="0"/>
      <w:marBottom w:val="0"/>
      <w:divBdr>
        <w:top w:val="none" w:sz="0" w:space="0" w:color="auto"/>
        <w:left w:val="none" w:sz="0" w:space="0" w:color="auto"/>
        <w:bottom w:val="none" w:sz="0" w:space="0" w:color="auto"/>
        <w:right w:val="none" w:sz="0" w:space="0" w:color="auto"/>
      </w:divBdr>
      <w:divsChild>
        <w:div w:id="51779428">
          <w:marLeft w:val="979"/>
          <w:marRight w:val="0"/>
          <w:marTop w:val="120"/>
          <w:marBottom w:val="0"/>
          <w:divBdr>
            <w:top w:val="none" w:sz="0" w:space="0" w:color="auto"/>
            <w:left w:val="none" w:sz="0" w:space="0" w:color="auto"/>
            <w:bottom w:val="none" w:sz="0" w:space="0" w:color="auto"/>
            <w:right w:val="none" w:sz="0" w:space="0" w:color="auto"/>
          </w:divBdr>
        </w:div>
        <w:div w:id="1292637779">
          <w:marLeft w:val="979"/>
          <w:marRight w:val="0"/>
          <w:marTop w:val="120"/>
          <w:marBottom w:val="0"/>
          <w:divBdr>
            <w:top w:val="none" w:sz="0" w:space="0" w:color="auto"/>
            <w:left w:val="none" w:sz="0" w:space="0" w:color="auto"/>
            <w:bottom w:val="none" w:sz="0" w:space="0" w:color="auto"/>
            <w:right w:val="none" w:sz="0" w:space="0" w:color="auto"/>
          </w:divBdr>
        </w:div>
        <w:div w:id="1828469903">
          <w:marLeft w:val="979"/>
          <w:marRight w:val="0"/>
          <w:marTop w:val="120"/>
          <w:marBottom w:val="0"/>
          <w:divBdr>
            <w:top w:val="none" w:sz="0" w:space="0" w:color="auto"/>
            <w:left w:val="none" w:sz="0" w:space="0" w:color="auto"/>
            <w:bottom w:val="none" w:sz="0" w:space="0" w:color="auto"/>
            <w:right w:val="none" w:sz="0" w:space="0" w:color="auto"/>
          </w:divBdr>
        </w:div>
      </w:divsChild>
    </w:div>
    <w:div w:id="1550385324">
      <w:bodyDiv w:val="1"/>
      <w:marLeft w:val="0"/>
      <w:marRight w:val="0"/>
      <w:marTop w:val="0"/>
      <w:marBottom w:val="0"/>
      <w:divBdr>
        <w:top w:val="none" w:sz="0" w:space="0" w:color="auto"/>
        <w:left w:val="none" w:sz="0" w:space="0" w:color="auto"/>
        <w:bottom w:val="none" w:sz="0" w:space="0" w:color="auto"/>
        <w:right w:val="none" w:sz="0" w:space="0" w:color="auto"/>
      </w:divBdr>
      <w:divsChild>
        <w:div w:id="606158124">
          <w:marLeft w:val="979"/>
          <w:marRight w:val="0"/>
          <w:marTop w:val="149"/>
          <w:marBottom w:val="0"/>
          <w:divBdr>
            <w:top w:val="none" w:sz="0" w:space="0" w:color="auto"/>
            <w:left w:val="none" w:sz="0" w:space="0" w:color="auto"/>
            <w:bottom w:val="none" w:sz="0" w:space="0" w:color="auto"/>
            <w:right w:val="none" w:sz="0" w:space="0" w:color="auto"/>
          </w:divBdr>
        </w:div>
        <w:div w:id="870339785">
          <w:marLeft w:val="979"/>
          <w:marRight w:val="0"/>
          <w:marTop w:val="149"/>
          <w:marBottom w:val="0"/>
          <w:divBdr>
            <w:top w:val="none" w:sz="0" w:space="0" w:color="auto"/>
            <w:left w:val="none" w:sz="0" w:space="0" w:color="auto"/>
            <w:bottom w:val="none" w:sz="0" w:space="0" w:color="auto"/>
            <w:right w:val="none" w:sz="0" w:space="0" w:color="auto"/>
          </w:divBdr>
        </w:div>
        <w:div w:id="880940917">
          <w:marLeft w:val="979"/>
          <w:marRight w:val="0"/>
          <w:marTop w:val="149"/>
          <w:marBottom w:val="0"/>
          <w:divBdr>
            <w:top w:val="none" w:sz="0" w:space="0" w:color="auto"/>
            <w:left w:val="none" w:sz="0" w:space="0" w:color="auto"/>
            <w:bottom w:val="none" w:sz="0" w:space="0" w:color="auto"/>
            <w:right w:val="none" w:sz="0" w:space="0" w:color="auto"/>
          </w:divBdr>
        </w:div>
        <w:div w:id="1556231562">
          <w:marLeft w:val="979"/>
          <w:marRight w:val="0"/>
          <w:marTop w:val="149"/>
          <w:marBottom w:val="0"/>
          <w:divBdr>
            <w:top w:val="none" w:sz="0" w:space="0" w:color="auto"/>
            <w:left w:val="none" w:sz="0" w:space="0" w:color="auto"/>
            <w:bottom w:val="none" w:sz="0" w:space="0" w:color="auto"/>
            <w:right w:val="none" w:sz="0" w:space="0" w:color="auto"/>
          </w:divBdr>
        </w:div>
        <w:div w:id="1958485214">
          <w:marLeft w:val="979"/>
          <w:marRight w:val="0"/>
          <w:marTop w:val="149"/>
          <w:marBottom w:val="0"/>
          <w:divBdr>
            <w:top w:val="none" w:sz="0" w:space="0" w:color="auto"/>
            <w:left w:val="none" w:sz="0" w:space="0" w:color="auto"/>
            <w:bottom w:val="none" w:sz="0" w:space="0" w:color="auto"/>
            <w:right w:val="none" w:sz="0" w:space="0" w:color="auto"/>
          </w:divBdr>
        </w:div>
      </w:divsChild>
    </w:div>
    <w:div w:id="1589926554">
      <w:bodyDiv w:val="1"/>
      <w:marLeft w:val="0"/>
      <w:marRight w:val="0"/>
      <w:marTop w:val="0"/>
      <w:marBottom w:val="0"/>
      <w:divBdr>
        <w:top w:val="none" w:sz="0" w:space="0" w:color="auto"/>
        <w:left w:val="none" w:sz="0" w:space="0" w:color="auto"/>
        <w:bottom w:val="none" w:sz="0" w:space="0" w:color="auto"/>
        <w:right w:val="none" w:sz="0" w:space="0" w:color="auto"/>
      </w:divBdr>
    </w:div>
    <w:div w:id="1655912179">
      <w:bodyDiv w:val="1"/>
      <w:marLeft w:val="0"/>
      <w:marRight w:val="0"/>
      <w:marTop w:val="0"/>
      <w:marBottom w:val="0"/>
      <w:divBdr>
        <w:top w:val="none" w:sz="0" w:space="0" w:color="auto"/>
        <w:left w:val="none" w:sz="0" w:space="0" w:color="auto"/>
        <w:bottom w:val="none" w:sz="0" w:space="0" w:color="auto"/>
        <w:right w:val="none" w:sz="0" w:space="0" w:color="auto"/>
      </w:divBdr>
    </w:div>
    <w:div w:id="211971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8751\AppData\Local\Temp\CP_5PAGES_V2.dotx" TargetMode="External"/></Relationships>
</file>

<file path=word/theme/theme1.xml><?xml version="1.0" encoding="utf-8"?>
<a:theme xmlns:a="http://schemas.openxmlformats.org/drawingml/2006/main" name="Thème Office">
  <a:themeElements>
    <a:clrScheme name="EDF 2">
      <a:dk1>
        <a:srgbClr val="000000"/>
      </a:dk1>
      <a:lt1>
        <a:srgbClr val="FFFFFF"/>
      </a:lt1>
      <a:dk2>
        <a:srgbClr val="4F9E30"/>
      </a:dk2>
      <a:lt2>
        <a:srgbClr val="FFFFFF"/>
      </a:lt2>
      <a:accent1>
        <a:srgbClr val="001A70"/>
      </a:accent1>
      <a:accent2>
        <a:srgbClr val="1057C8"/>
      </a:accent2>
      <a:accent3>
        <a:srgbClr val="1089FF"/>
      </a:accent3>
      <a:accent4>
        <a:srgbClr val="88D910"/>
      </a:accent4>
      <a:accent5>
        <a:srgbClr val="FFB210"/>
      </a:accent5>
      <a:accent6>
        <a:srgbClr val="FE5716"/>
      </a:accent6>
      <a:hlink>
        <a:srgbClr val="001A70"/>
      </a:hlink>
      <a:folHlink>
        <a:srgbClr val="1057C8"/>
      </a:folHlink>
    </a:clrScheme>
    <a:fontScheme name="EDF">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6874c37-1e11-4496-b74e-804d99bbd5a2" xsi:nil="true"/>
    <lcf76f155ced4ddcb4097134ff3c332f xmlns="37954cc8-d36c-4d65-961c-a50375102c20">
      <Terms xmlns="http://schemas.microsoft.com/office/infopath/2007/PartnerControls"/>
    </lcf76f155ced4ddcb4097134ff3c332f>
    <SharedWithUsers xmlns="f6874c37-1e11-4496-b74e-804d99bbd5a2">
      <UserInfo>
        <DisplayName/>
        <AccountId xsi:nil="true"/>
        <AccountType/>
      </UserInfo>
    </SharedWithUsers>
    <MediaLengthInSeconds xmlns="37954cc8-d36c-4d65-961c-a50375102c2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E664DF185CB864FB256439A466D6D7B" ma:contentTypeVersion="17" ma:contentTypeDescription="Crée un document." ma:contentTypeScope="" ma:versionID="1599b2e2eabda3f8a7ed7f6c51b442a0">
  <xsd:schema xmlns:xsd="http://www.w3.org/2001/XMLSchema" xmlns:xs="http://www.w3.org/2001/XMLSchema" xmlns:p="http://schemas.microsoft.com/office/2006/metadata/properties" xmlns:ns2="37954cc8-d36c-4d65-961c-a50375102c20" xmlns:ns3="f6874c37-1e11-4496-b74e-804d99bbd5a2" targetNamespace="http://schemas.microsoft.com/office/2006/metadata/properties" ma:root="true" ma:fieldsID="77516a58c1f8c46df08c73e8e5a2798e" ns2:_="" ns3:_="">
    <xsd:import namespace="37954cc8-d36c-4d65-961c-a50375102c20"/>
    <xsd:import namespace="f6874c37-1e11-4496-b74e-804d99bbd5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54cc8-d36c-4d65-961c-a50375102c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42f93913-bc41-4bc1-b92f-9f3e8e4be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874c37-1e11-4496-b74e-804d99bbd5a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ee7fbf-f36e-4cb4-bde5-307bd6c6679c}" ma:internalName="TaxCatchAll" ma:showField="CatchAllData" ma:web="f6874c37-1e11-4496-b74e-804d99bbd5a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7914B6-EFDB-4C2F-9B22-0B1EC0B081A8}">
  <ds:schemaRefs>
    <ds:schemaRef ds:uri="http://schemas.microsoft.com/sharepoint/v3/contenttype/forms"/>
  </ds:schemaRefs>
</ds:datastoreItem>
</file>

<file path=customXml/itemProps2.xml><?xml version="1.0" encoding="utf-8"?>
<ds:datastoreItem xmlns:ds="http://schemas.openxmlformats.org/officeDocument/2006/customXml" ds:itemID="{22F1D28C-F217-4D5E-93EC-931BCF4218D5}">
  <ds:schemaRefs>
    <ds:schemaRef ds:uri="http://schemas.microsoft.com/office/2006/metadata/properties"/>
    <ds:schemaRef ds:uri="http://www.w3.org/2000/xmlns/"/>
    <ds:schemaRef ds:uri="f6874c37-1e11-4496-b74e-804d99bbd5a2"/>
    <ds:schemaRef ds:uri="http://www.w3.org/2001/XMLSchema-instance"/>
    <ds:schemaRef ds:uri="37954cc8-d36c-4d65-961c-a50375102c20"/>
    <ds:schemaRef ds:uri="http://schemas.microsoft.com/office/infopath/2007/PartnerControls"/>
  </ds:schemaRefs>
</ds:datastoreItem>
</file>

<file path=customXml/itemProps3.xml><?xml version="1.0" encoding="utf-8"?>
<ds:datastoreItem xmlns:ds="http://schemas.openxmlformats.org/officeDocument/2006/customXml" ds:itemID="{7EADF4CB-761A-4EEE-8DFC-5BAC60178279}">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4EF2C3C3-44FB-42CE-9613-A5BF09CB9749}">
  <ds:schemaRefs>
    <ds:schemaRef ds:uri="http://schemas.microsoft.com/office/2006/metadata/contentType"/>
    <ds:schemaRef ds:uri="http://schemas.microsoft.com/office/2006/metadata/properties/metaAttributes"/>
    <ds:schemaRef ds:uri="http://www.w3.org/2000/xmlns/"/>
    <ds:schemaRef ds:uri="http://www.w3.org/2001/XMLSchema"/>
    <ds:schemaRef ds:uri="37954cc8-d36c-4d65-961c-a50375102c20"/>
    <ds:schemaRef ds:uri="f6874c37-1e11-4496-b74e-804d99bbd5a2"/>
  </ds:schemaRefs>
</ds:datastoreItem>
</file>

<file path=docProps/app.xml><?xml version="1.0" encoding="utf-8"?>
<Properties xmlns="http://schemas.openxmlformats.org/officeDocument/2006/extended-properties" xmlns:vt="http://schemas.openxmlformats.org/officeDocument/2006/docPropsVTypes">
  <Template>CP_5PAGES_V2.dotx</Template>
  <TotalTime>1</TotalTime>
  <Pages>8</Pages>
  <Words>3133</Words>
  <Characters>17234</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EDF</vt:lpstr>
    </vt:vector>
  </TitlesOfParts>
  <Company>Distingo</Company>
  <LinksUpToDate>false</LinksUpToDate>
  <CharactersWithSpaces>20327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dc:title>
  <dc:subject/>
  <dc:creator>george.govgassian@gmail.com</dc:creator>
  <cp:keywords/>
  <cp:lastModifiedBy>GOVGASSIAN George</cp:lastModifiedBy>
  <cp:revision>2</cp:revision>
  <cp:lastPrinted>2021-10-09T18:05:00Z</cp:lastPrinted>
  <dcterms:created xsi:type="dcterms:W3CDTF">2024-04-29T20:23:00Z</dcterms:created>
  <dcterms:modified xsi:type="dcterms:W3CDTF">2024-04-29T20:23:00Z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0x0101008E664DF185CB864FB256439A466D6D7B</vt:lpwstr>
  </property>
  <property fmtid="{D5CDD505-2E9C-101B-9397-08002B2CF9AE}" pid="3" name="MediaServiceImageTags">
    <vt:lpwstr/>
  </property>
  <property fmtid="{D5CDD505-2E9C-101B-9397-08002B2CF9AE}" pid="4" name="Order">
    <vt:r8>165700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SIP_Label_2d26f538-337a-4593-a7e6-123667b1a538_Enabled">
    <vt:lpwstr>true</vt:lpwstr>
  </property>
  <property fmtid="{D5CDD505-2E9C-101B-9397-08002B2CF9AE}" pid="12" name="MSIP_Label_2d26f538-337a-4593-a7e6-123667b1a538_SetDate">
    <vt:lpwstr>2023-09-29T12:10:33Z</vt:lpwstr>
  </property>
  <property fmtid="{D5CDD505-2E9C-101B-9397-08002B2CF9AE}" pid="13" name="MSIP_Label_2d26f538-337a-4593-a7e6-123667b1a538_Method">
    <vt:lpwstr>Privileged</vt:lpwstr>
  </property>
  <property fmtid="{D5CDD505-2E9C-101B-9397-08002B2CF9AE}" pid="14" name="MSIP_Label_2d26f538-337a-4593-a7e6-123667b1a538_Name">
    <vt:lpwstr>C1 Interne</vt:lpwstr>
  </property>
  <property fmtid="{D5CDD505-2E9C-101B-9397-08002B2CF9AE}" pid="15" name="MSIP_Label_2d26f538-337a-4593-a7e6-123667b1a538_SiteId">
    <vt:lpwstr>e242425b-70fc-44dc-9ddf-c21e304e6c80</vt:lpwstr>
  </property>
  <property fmtid="{D5CDD505-2E9C-101B-9397-08002B2CF9AE}" pid="16" name="MSIP_Label_2d26f538-337a-4593-a7e6-123667b1a538_ActionId">
    <vt:lpwstr>bebc8cea-e3d5-4be9-825b-d98bfc489bec</vt:lpwstr>
  </property>
  <property fmtid="{D5CDD505-2E9C-101B-9397-08002B2CF9AE}" pid="17" name="MSIP_Label_2d26f538-337a-4593-a7e6-123667b1a538_ContentBits">
    <vt:lpwstr>0</vt:lpwstr>
  </property>
</Properties>
</file>